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11F10" w14:textId="57BAE49A" w:rsidR="00FD6E18" w:rsidRPr="007C1B24" w:rsidRDefault="00FD6E18" w:rsidP="00FD6E18">
      <w:pPr>
        <w:spacing w:before="100" w:beforeAutospacing="1" w:after="100" w:afterAutospacing="1"/>
        <w:rPr>
          <w:rFonts w:cs="Times New Roman"/>
        </w:rPr>
      </w:pPr>
      <w:r w:rsidRPr="007C1B24">
        <w:rPr>
          <w:rFonts w:cs="Times New Roman"/>
        </w:rPr>
        <w:t>TL</w:t>
      </w:r>
      <w:r w:rsidR="00BB0F98" w:rsidRPr="007C1B24">
        <w:rPr>
          <w:rFonts w:cs="Times New Roman"/>
        </w:rPr>
        <w:t>A</w:t>
      </w:r>
      <w:r w:rsidRPr="007C1B24">
        <w:rPr>
          <w:rFonts w:cs="Times New Roman"/>
        </w:rPr>
        <w:t>BC and CBABC v. AGBC – Ca</w:t>
      </w:r>
      <w:bookmarkStart w:id="0" w:name="_GoBack"/>
      <w:bookmarkEnd w:id="0"/>
      <w:r w:rsidRPr="007C1B24">
        <w:rPr>
          <w:rFonts w:cs="Times New Roman"/>
        </w:rPr>
        <w:t>se Comment</w:t>
      </w:r>
    </w:p>
    <w:p w14:paraId="62E15AF0" w14:textId="4CFF1604" w:rsidR="00FD6E18" w:rsidRPr="007C1B24" w:rsidRDefault="002F7EA1" w:rsidP="00FD6E18">
      <w:pPr>
        <w:spacing w:before="100" w:beforeAutospacing="1" w:after="100" w:afterAutospacing="1"/>
        <w:rPr>
          <w:rFonts w:cs="Times New Roman"/>
        </w:rPr>
      </w:pPr>
      <w:r>
        <w:rPr>
          <w:rFonts w:cs="Times New Roman"/>
        </w:rPr>
        <w:t xml:space="preserve">(Finally) </w:t>
      </w:r>
      <w:r w:rsidR="00FD6E18" w:rsidRPr="007C1B24">
        <w:rPr>
          <w:rFonts w:cs="Times New Roman"/>
        </w:rPr>
        <w:t>A Constitutional Home for Access to Justice</w:t>
      </w:r>
    </w:p>
    <w:p w14:paraId="675A9495" w14:textId="41CE3CA7" w:rsidR="00FF515F" w:rsidRDefault="00F80A1D" w:rsidP="00CA55E3">
      <w:pPr>
        <w:spacing w:before="100" w:beforeAutospacing="1" w:after="100" w:afterAutospacing="1"/>
        <w:jc w:val="both"/>
        <w:rPr>
          <w:rFonts w:cs="Times New Roman"/>
        </w:rPr>
      </w:pPr>
      <w:r>
        <w:rPr>
          <w:rFonts w:cs="Times New Roman"/>
        </w:rPr>
        <w:t>An unrepresented mother</w:t>
      </w:r>
      <w:r w:rsidR="002F7EA1">
        <w:rPr>
          <w:rFonts w:cs="Times New Roman"/>
        </w:rPr>
        <w:t xml:space="preserve"> </w:t>
      </w:r>
      <w:r w:rsidR="00CA55E3">
        <w:rPr>
          <w:rFonts w:cs="Times New Roman"/>
        </w:rPr>
        <w:t xml:space="preserve">requests </w:t>
      </w:r>
      <w:r w:rsidR="002F7EA1">
        <w:rPr>
          <w:rFonts w:cs="Times New Roman"/>
        </w:rPr>
        <w:t xml:space="preserve">to be relieved of the payment of </w:t>
      </w:r>
      <w:r w:rsidR="006B2A02">
        <w:rPr>
          <w:rFonts w:cs="Times New Roman"/>
        </w:rPr>
        <w:t>hearing fees</w:t>
      </w:r>
      <w:r w:rsidR="002F7EA1">
        <w:rPr>
          <w:rFonts w:cs="Times New Roman"/>
        </w:rPr>
        <w:t xml:space="preserve"> </w:t>
      </w:r>
      <w:r>
        <w:rPr>
          <w:rFonts w:cs="Times New Roman"/>
        </w:rPr>
        <w:t>so she can</w:t>
      </w:r>
      <w:r w:rsidR="00CA55E3">
        <w:rPr>
          <w:rFonts w:cs="Times New Roman"/>
        </w:rPr>
        <w:t xml:space="preserve"> pursu</w:t>
      </w:r>
      <w:r>
        <w:rPr>
          <w:rFonts w:cs="Times New Roman"/>
        </w:rPr>
        <w:t>e the</w:t>
      </w:r>
      <w:r w:rsidR="00CA55E3">
        <w:rPr>
          <w:rFonts w:cs="Times New Roman"/>
        </w:rPr>
        <w:t xml:space="preserve"> custody of her child.</w:t>
      </w:r>
      <w:r w:rsidR="002F7EA1">
        <w:rPr>
          <w:rFonts w:cs="Times New Roman"/>
        </w:rPr>
        <w:t xml:space="preserve"> </w:t>
      </w:r>
      <w:r w:rsidR="0009350B">
        <w:rPr>
          <w:rFonts w:cs="Times New Roman"/>
        </w:rPr>
        <w:t xml:space="preserve"> </w:t>
      </w:r>
      <w:r w:rsidR="00CA55E3">
        <w:rPr>
          <w:rFonts w:cs="Times New Roman"/>
        </w:rPr>
        <w:t>A</w:t>
      </w:r>
      <w:r w:rsidR="00060DA1">
        <w:rPr>
          <w:rFonts w:cs="Times New Roman"/>
        </w:rPr>
        <w:t xml:space="preserve"> trial</w:t>
      </w:r>
      <w:r w:rsidR="002F7EA1">
        <w:rPr>
          <w:rFonts w:cs="Times New Roman"/>
        </w:rPr>
        <w:t xml:space="preserve"> </w:t>
      </w:r>
      <w:r w:rsidR="00EB516E">
        <w:rPr>
          <w:rFonts w:cs="Times New Roman"/>
        </w:rPr>
        <w:t>judge, Mr. Justice Mark McEwan</w:t>
      </w:r>
      <w:r w:rsidR="00D5060C">
        <w:rPr>
          <w:rFonts w:cs="Times New Roman"/>
        </w:rPr>
        <w:t>,</w:t>
      </w:r>
      <w:r w:rsidR="00EB516E">
        <w:rPr>
          <w:rFonts w:cs="Times New Roman"/>
        </w:rPr>
        <w:t xml:space="preserve"> concerned about the constitutionality of </w:t>
      </w:r>
      <w:r w:rsidR="00CA55E3">
        <w:rPr>
          <w:rFonts w:cs="Times New Roman"/>
        </w:rPr>
        <w:t xml:space="preserve">these fees issues a request for assistance.  </w:t>
      </w:r>
      <w:r w:rsidR="0009350B">
        <w:rPr>
          <w:rFonts w:cs="Times New Roman"/>
        </w:rPr>
        <w:t>L</w:t>
      </w:r>
      <w:r w:rsidR="00EB516E">
        <w:rPr>
          <w:rFonts w:cs="Times New Roman"/>
        </w:rPr>
        <w:t>egal organizations</w:t>
      </w:r>
      <w:r w:rsidR="0009350B">
        <w:rPr>
          <w:rFonts w:cs="Times New Roman"/>
        </w:rPr>
        <w:t xml:space="preserve">, lawyers and experts serving </w:t>
      </w:r>
      <w:r w:rsidR="0009350B" w:rsidRPr="008178BD">
        <w:rPr>
          <w:rFonts w:cs="Times New Roman"/>
          <w:i/>
        </w:rPr>
        <w:t>pro bono</w:t>
      </w:r>
      <w:r w:rsidR="0009350B">
        <w:rPr>
          <w:rFonts w:cs="Times New Roman"/>
          <w:i/>
        </w:rPr>
        <w:t>,</w:t>
      </w:r>
      <w:r w:rsidR="00EB516E">
        <w:rPr>
          <w:rFonts w:cs="Times New Roman"/>
        </w:rPr>
        <w:t xml:space="preserve"> step up to the challenge, to ensure</w:t>
      </w:r>
      <w:r w:rsidR="002F7EA1">
        <w:rPr>
          <w:rFonts w:cs="Times New Roman"/>
        </w:rPr>
        <w:t xml:space="preserve"> the </w:t>
      </w:r>
      <w:r w:rsidR="00EB516E">
        <w:rPr>
          <w:rFonts w:cs="Times New Roman"/>
        </w:rPr>
        <w:t>issues are fully c</w:t>
      </w:r>
      <w:r w:rsidR="00060DA1">
        <w:rPr>
          <w:rFonts w:cs="Times New Roman"/>
        </w:rPr>
        <w:t xml:space="preserve">anvassed.  </w:t>
      </w:r>
      <w:r w:rsidR="0009350B">
        <w:rPr>
          <w:rFonts w:cs="Times New Roman"/>
        </w:rPr>
        <w:t xml:space="preserve">These somewhat </w:t>
      </w:r>
      <w:r w:rsidR="00060DA1">
        <w:rPr>
          <w:rFonts w:cs="Times New Roman"/>
        </w:rPr>
        <w:t xml:space="preserve">unordinary </w:t>
      </w:r>
      <w:r w:rsidR="0010547E">
        <w:rPr>
          <w:rFonts w:cs="Times New Roman"/>
        </w:rPr>
        <w:t xml:space="preserve">series of events </w:t>
      </w:r>
      <w:r w:rsidR="008178BD">
        <w:rPr>
          <w:rFonts w:cs="Times New Roman"/>
        </w:rPr>
        <w:t>lead to</w:t>
      </w:r>
      <w:r w:rsidR="00060DA1">
        <w:rPr>
          <w:rFonts w:cs="Times New Roman"/>
        </w:rPr>
        <w:t xml:space="preserve"> an extraordinary</w:t>
      </w:r>
      <w:r w:rsidR="00EB516E">
        <w:rPr>
          <w:rFonts w:cs="Times New Roman"/>
        </w:rPr>
        <w:t xml:space="preserve"> conclusion: </w:t>
      </w:r>
      <w:r w:rsidR="0010547E">
        <w:rPr>
          <w:rFonts w:cs="Times New Roman"/>
        </w:rPr>
        <w:t xml:space="preserve"> </w:t>
      </w:r>
      <w:r w:rsidR="00CA55E3">
        <w:rPr>
          <w:rFonts w:cs="Times New Roman"/>
        </w:rPr>
        <w:t xml:space="preserve">the </w:t>
      </w:r>
      <w:r w:rsidR="002F7EA1">
        <w:rPr>
          <w:rFonts w:cs="Times New Roman"/>
        </w:rPr>
        <w:t>S</w:t>
      </w:r>
      <w:r w:rsidR="00CA55E3">
        <w:rPr>
          <w:rFonts w:cs="Times New Roman"/>
        </w:rPr>
        <w:t>upreme Court of Canada declares</w:t>
      </w:r>
      <w:r w:rsidR="002F7EA1">
        <w:rPr>
          <w:rFonts w:cs="Times New Roman"/>
        </w:rPr>
        <w:t xml:space="preserve"> the f</w:t>
      </w:r>
      <w:r w:rsidR="00CA55E3">
        <w:rPr>
          <w:rFonts w:cs="Times New Roman"/>
        </w:rPr>
        <w:t>ees unconstitutional and carves</w:t>
      </w:r>
      <w:r w:rsidR="002F7EA1">
        <w:rPr>
          <w:rFonts w:cs="Times New Roman"/>
        </w:rPr>
        <w:t xml:space="preserve"> out a new home for access to justice in the Canadian Constitution</w:t>
      </w:r>
      <w:r>
        <w:rPr>
          <w:rFonts w:cs="Times New Roman"/>
        </w:rPr>
        <w:t xml:space="preserve">:  </w:t>
      </w:r>
      <w:r w:rsidR="002F7EA1">
        <w:rPr>
          <w:rFonts w:cs="Times New Roman"/>
          <w:i/>
        </w:rPr>
        <w:t xml:space="preserve">Trial Lawyers Association of British Columbia and Canadian Bar Association –British Columbia Branch v. Attorney General British Columbia </w:t>
      </w:r>
      <w:r w:rsidR="002F7EA1">
        <w:rPr>
          <w:rFonts w:cs="Times New Roman"/>
        </w:rPr>
        <w:t>2014 SCC 59.</w:t>
      </w:r>
    </w:p>
    <w:p w14:paraId="7A6A96E1" w14:textId="0EAE577A" w:rsidR="00325C3F" w:rsidRPr="008178BD" w:rsidRDefault="00FF515F" w:rsidP="008178BD">
      <w:pPr>
        <w:spacing w:before="100" w:beforeAutospacing="1" w:after="100" w:afterAutospacing="1"/>
        <w:jc w:val="both"/>
        <w:rPr>
          <w:rFonts w:cs="Times New Roman"/>
        </w:rPr>
      </w:pPr>
      <w:r>
        <w:rPr>
          <w:rFonts w:cs="Times New Roman"/>
        </w:rPr>
        <w:t>The fortuity or serendipity of this constitutio</w:t>
      </w:r>
      <w:r w:rsidR="008178BD">
        <w:rPr>
          <w:rFonts w:cs="Times New Roman"/>
        </w:rPr>
        <w:t>nal moment belies the</w:t>
      </w:r>
      <w:r w:rsidR="00CA55E3">
        <w:rPr>
          <w:rFonts w:cs="Times New Roman"/>
        </w:rPr>
        <w:t xml:space="preserve"> decade</w:t>
      </w:r>
      <w:r>
        <w:rPr>
          <w:rFonts w:cs="Times New Roman"/>
        </w:rPr>
        <w:t xml:space="preserve"> long struggle to gain renewed recognition of access to justice as a</w:t>
      </w:r>
      <w:r w:rsidR="002F7EA1">
        <w:rPr>
          <w:rFonts w:cs="Times New Roman"/>
        </w:rPr>
        <w:t xml:space="preserve"> </w:t>
      </w:r>
      <w:r>
        <w:rPr>
          <w:rFonts w:cs="Times New Roman"/>
        </w:rPr>
        <w:t xml:space="preserve">functional operational </w:t>
      </w:r>
      <w:r w:rsidR="008178BD">
        <w:rPr>
          <w:rFonts w:cs="Times New Roman"/>
        </w:rPr>
        <w:t>principle of our justice system</w:t>
      </w:r>
      <w:r w:rsidR="00F80A1D">
        <w:rPr>
          <w:rFonts w:cs="Times New Roman"/>
        </w:rPr>
        <w:t xml:space="preserve">, see for example, </w:t>
      </w:r>
      <w:r w:rsidR="008178BD">
        <w:rPr>
          <w:rFonts w:cs="Times New Roman"/>
          <w:i/>
        </w:rPr>
        <w:t>Christie v. BC</w:t>
      </w:r>
      <w:r w:rsidR="00325C3F">
        <w:rPr>
          <w:rStyle w:val="EndnoteReference"/>
          <w:rFonts w:cs="Times New Roman"/>
          <w:i/>
        </w:rPr>
        <w:endnoteReference w:id="1"/>
      </w:r>
      <w:r w:rsidR="00325C3F">
        <w:rPr>
          <w:rFonts w:cs="Times New Roman"/>
          <w:i/>
        </w:rPr>
        <w:t xml:space="preserve"> </w:t>
      </w:r>
      <w:r w:rsidR="00325C3F">
        <w:rPr>
          <w:rFonts w:cs="Times New Roman"/>
        </w:rPr>
        <w:t xml:space="preserve">and </w:t>
      </w:r>
      <w:r w:rsidR="00325C3F">
        <w:rPr>
          <w:rFonts w:cs="Times New Roman"/>
          <w:i/>
        </w:rPr>
        <w:t>Canadian Bar Association v. BC</w:t>
      </w:r>
      <w:r w:rsidR="00325C3F">
        <w:rPr>
          <w:rStyle w:val="EndnoteReference"/>
          <w:rFonts w:cs="Times New Roman"/>
          <w:i/>
        </w:rPr>
        <w:endnoteReference w:id="2"/>
      </w:r>
      <w:r w:rsidR="00325C3F">
        <w:rPr>
          <w:rFonts w:cs="Times New Roman"/>
          <w:i/>
        </w:rPr>
        <w:t xml:space="preserve"> </w:t>
      </w:r>
      <w:r w:rsidR="00325C3F">
        <w:rPr>
          <w:rFonts w:cs="Times New Roman"/>
        </w:rPr>
        <w:t>among others.</w:t>
      </w:r>
      <w:r w:rsidR="00325C3F">
        <w:rPr>
          <w:rStyle w:val="EndnoteReference"/>
          <w:rFonts w:cs="Times New Roman"/>
        </w:rPr>
        <w:endnoteReference w:id="3"/>
      </w:r>
      <w:r w:rsidR="00325C3F">
        <w:rPr>
          <w:rFonts w:cs="Times New Roman"/>
        </w:rPr>
        <w:t xml:space="preserve">  Finally, a victory attained and, more importantly, a strong constitutional foundation for access to justice in Canada.</w:t>
      </w:r>
    </w:p>
    <w:p w14:paraId="70FC69CC" w14:textId="649C2505" w:rsidR="00325C3F" w:rsidRDefault="00325C3F" w:rsidP="00FD6E18">
      <w:pPr>
        <w:spacing w:before="100" w:beforeAutospacing="1" w:after="100" w:afterAutospacing="1"/>
        <w:rPr>
          <w:rFonts w:cs="Times New Roman"/>
          <w:i/>
        </w:rPr>
      </w:pPr>
      <w:r>
        <w:rPr>
          <w:rFonts w:cs="Times New Roman"/>
          <w:i/>
        </w:rPr>
        <w:t>Facts and History</w:t>
      </w:r>
    </w:p>
    <w:p w14:paraId="505D4717" w14:textId="2A8CB21C" w:rsidR="00325C3F" w:rsidRDefault="00325C3F" w:rsidP="00B9316E">
      <w:pPr>
        <w:pStyle w:val="ParaNoNdepar-AltN"/>
        <w:numPr>
          <w:ilvl w:val="0"/>
          <w:numId w:val="0"/>
        </w:numPr>
        <w:spacing w:line="240" w:lineRule="auto"/>
        <w:rPr>
          <w:rFonts w:asciiTheme="minorHAnsi" w:hAnsiTheme="minorHAnsi" w:cs="Times New Roman"/>
          <w:szCs w:val="24"/>
        </w:rPr>
      </w:pPr>
      <w:r w:rsidRPr="007C1B24">
        <w:rPr>
          <w:rFonts w:asciiTheme="minorHAnsi" w:hAnsiTheme="minorHAnsi" w:cs="Times New Roman"/>
          <w:szCs w:val="24"/>
        </w:rPr>
        <w:t>This case began as a family action.</w:t>
      </w:r>
      <w:r>
        <w:rPr>
          <w:rStyle w:val="EndnoteReference"/>
          <w:rFonts w:asciiTheme="minorHAnsi" w:hAnsiTheme="minorHAnsi" w:cs="Times New Roman"/>
          <w:szCs w:val="24"/>
        </w:rPr>
        <w:endnoteReference w:id="4"/>
      </w:r>
      <w:r w:rsidRPr="007C1B24">
        <w:rPr>
          <w:rFonts w:asciiTheme="minorHAnsi" w:hAnsiTheme="minorHAnsi" w:cs="Times New Roman"/>
          <w:szCs w:val="24"/>
        </w:rPr>
        <w:t xml:space="preserve">  </w:t>
      </w:r>
      <w:r>
        <w:rPr>
          <w:rFonts w:asciiTheme="minorHAnsi" w:hAnsiTheme="minorHAnsi" w:cs="Times New Roman"/>
          <w:szCs w:val="24"/>
        </w:rPr>
        <w:t xml:space="preserve">A mother and a father </w:t>
      </w:r>
      <w:r w:rsidRPr="007C1B24">
        <w:rPr>
          <w:rFonts w:asciiTheme="minorHAnsi" w:hAnsiTheme="minorHAnsi" w:cs="Times New Roman"/>
          <w:szCs w:val="24"/>
        </w:rPr>
        <w:t xml:space="preserve">went to court to </w:t>
      </w:r>
      <w:r>
        <w:rPr>
          <w:rFonts w:asciiTheme="minorHAnsi" w:hAnsiTheme="minorHAnsi" w:cs="Times New Roman"/>
          <w:szCs w:val="24"/>
        </w:rPr>
        <w:t>resolve</w:t>
      </w:r>
      <w:r w:rsidRPr="007C1B24">
        <w:rPr>
          <w:rFonts w:asciiTheme="minorHAnsi" w:hAnsiTheme="minorHAnsi" w:cs="Times New Roman"/>
          <w:szCs w:val="24"/>
        </w:rPr>
        <w:t xml:space="preserve"> issues </w:t>
      </w:r>
      <w:r>
        <w:rPr>
          <w:rFonts w:asciiTheme="minorHAnsi" w:hAnsiTheme="minorHAnsi" w:cs="Times New Roman"/>
          <w:szCs w:val="24"/>
        </w:rPr>
        <w:t xml:space="preserve">concerning child custody and division of assets.  </w:t>
      </w:r>
      <w:r w:rsidRPr="007C1B24">
        <w:rPr>
          <w:rFonts w:asciiTheme="minorHAnsi" w:hAnsiTheme="minorHAnsi" w:cs="Times New Roman"/>
          <w:szCs w:val="24"/>
        </w:rPr>
        <w:t xml:space="preserve">In order to get a trial date, </w:t>
      </w:r>
      <w:r>
        <w:rPr>
          <w:rFonts w:asciiTheme="minorHAnsi" w:hAnsiTheme="minorHAnsi" w:cs="Times New Roman"/>
          <w:szCs w:val="24"/>
        </w:rPr>
        <w:t>the mother</w:t>
      </w:r>
      <w:r w:rsidRPr="007C1B24">
        <w:rPr>
          <w:rFonts w:asciiTheme="minorHAnsi" w:hAnsiTheme="minorHAnsi" w:cs="Times New Roman"/>
          <w:szCs w:val="24"/>
        </w:rPr>
        <w:t xml:space="preserve"> had to undertake in advance to pay </w:t>
      </w:r>
      <w:r>
        <w:rPr>
          <w:rFonts w:asciiTheme="minorHAnsi" w:hAnsiTheme="minorHAnsi" w:cs="Times New Roman"/>
          <w:szCs w:val="24"/>
        </w:rPr>
        <w:t>hearing fees</w:t>
      </w:r>
      <w:r w:rsidRPr="007C1B24">
        <w:rPr>
          <w:rFonts w:asciiTheme="minorHAnsi" w:hAnsiTheme="minorHAnsi" w:cs="Times New Roman"/>
          <w:szCs w:val="24"/>
        </w:rPr>
        <w:t xml:space="preserve">.  At the outset of the trial, </w:t>
      </w:r>
      <w:r>
        <w:rPr>
          <w:rFonts w:asciiTheme="minorHAnsi" w:hAnsiTheme="minorHAnsi" w:cs="Times New Roman"/>
          <w:szCs w:val="24"/>
        </w:rPr>
        <w:t>she</w:t>
      </w:r>
      <w:r w:rsidRPr="007C1B24">
        <w:rPr>
          <w:rFonts w:asciiTheme="minorHAnsi" w:hAnsiTheme="minorHAnsi" w:cs="Times New Roman"/>
          <w:szCs w:val="24"/>
        </w:rPr>
        <w:t xml:space="preserve"> asked the judge to relieve her from paying the fee</w:t>
      </w:r>
      <w:r>
        <w:rPr>
          <w:rFonts w:asciiTheme="minorHAnsi" w:hAnsiTheme="minorHAnsi" w:cs="Times New Roman"/>
          <w:szCs w:val="24"/>
        </w:rPr>
        <w:t>s</w:t>
      </w:r>
      <w:r w:rsidRPr="007C1B24">
        <w:rPr>
          <w:rFonts w:asciiTheme="minorHAnsi" w:hAnsiTheme="minorHAnsi" w:cs="Times New Roman"/>
          <w:szCs w:val="24"/>
        </w:rPr>
        <w:t xml:space="preserve">.  The judge </w:t>
      </w:r>
      <w:r>
        <w:rPr>
          <w:rFonts w:asciiTheme="minorHAnsi" w:hAnsiTheme="minorHAnsi" w:cs="Times New Roman"/>
          <w:szCs w:val="24"/>
        </w:rPr>
        <w:t>deferred the consideration of</w:t>
      </w:r>
      <w:r w:rsidRPr="007C1B24">
        <w:rPr>
          <w:rFonts w:asciiTheme="minorHAnsi" w:hAnsiTheme="minorHAnsi" w:cs="Times New Roman"/>
          <w:szCs w:val="24"/>
        </w:rPr>
        <w:t xml:space="preserve"> this reque</w:t>
      </w:r>
      <w:r>
        <w:rPr>
          <w:rFonts w:asciiTheme="minorHAnsi" w:hAnsiTheme="minorHAnsi" w:cs="Times New Roman"/>
          <w:szCs w:val="24"/>
        </w:rPr>
        <w:t xml:space="preserve">st until the end of the trial, when he would have the benefit of the evidence of </w:t>
      </w:r>
      <w:r w:rsidRPr="007C1B24">
        <w:rPr>
          <w:rFonts w:asciiTheme="minorHAnsi" w:hAnsiTheme="minorHAnsi" w:cs="Times New Roman"/>
          <w:szCs w:val="24"/>
        </w:rPr>
        <w:t>the parties’ means, circumstances, entitlement to property</w:t>
      </w:r>
      <w:r>
        <w:rPr>
          <w:rFonts w:asciiTheme="minorHAnsi" w:hAnsiTheme="minorHAnsi" w:cs="Times New Roman"/>
          <w:szCs w:val="24"/>
        </w:rPr>
        <w:t xml:space="preserve"> and the outcome of the trial</w:t>
      </w:r>
      <w:r w:rsidRPr="007C1B24">
        <w:rPr>
          <w:rFonts w:asciiTheme="minorHAnsi" w:hAnsiTheme="minorHAnsi" w:cs="Times New Roman"/>
          <w:szCs w:val="24"/>
        </w:rPr>
        <w:t>.</w:t>
      </w:r>
    </w:p>
    <w:p w14:paraId="71714B27" w14:textId="17C548B9" w:rsidR="00325C3F" w:rsidRDefault="00325C3F" w:rsidP="00C53D02">
      <w:pPr>
        <w:pStyle w:val="ParaNoNdepar-AltN"/>
        <w:numPr>
          <w:ilvl w:val="0"/>
          <w:numId w:val="0"/>
        </w:numPr>
        <w:spacing w:line="240" w:lineRule="auto"/>
        <w:rPr>
          <w:rFonts w:asciiTheme="minorHAnsi" w:hAnsiTheme="minorHAnsi" w:cs="Times New Roman"/>
          <w:szCs w:val="24"/>
        </w:rPr>
      </w:pPr>
      <w:r>
        <w:rPr>
          <w:rFonts w:asciiTheme="minorHAnsi" w:hAnsiTheme="minorHAnsi" w:cs="Times New Roman"/>
          <w:szCs w:val="24"/>
        </w:rPr>
        <w:t>Hearing fees are required by the regulations enacted as t</w:t>
      </w:r>
      <w:r w:rsidRPr="007C1B24">
        <w:rPr>
          <w:rFonts w:asciiTheme="minorHAnsi" w:hAnsiTheme="minorHAnsi" w:cs="Times New Roman"/>
          <w:szCs w:val="24"/>
        </w:rPr>
        <w:t xml:space="preserve">he </w:t>
      </w:r>
      <w:r w:rsidRPr="007C1B24">
        <w:rPr>
          <w:rFonts w:asciiTheme="minorHAnsi" w:hAnsiTheme="minorHAnsi" w:cs="Times New Roman"/>
          <w:i/>
          <w:szCs w:val="24"/>
        </w:rPr>
        <w:t>Supreme Court Rules</w:t>
      </w:r>
      <w:r>
        <w:rPr>
          <w:rFonts w:asciiTheme="minorHAnsi" w:hAnsiTheme="minorHAnsi" w:cs="Times New Roman"/>
          <w:i/>
          <w:szCs w:val="24"/>
        </w:rPr>
        <w:t xml:space="preserve">, </w:t>
      </w:r>
      <w:r w:rsidRPr="007C1B24">
        <w:rPr>
          <w:rFonts w:asciiTheme="minorHAnsi" w:hAnsiTheme="minorHAnsi" w:cs="Times New Roman"/>
          <w:szCs w:val="24"/>
        </w:rPr>
        <w:t xml:space="preserve">subordinate legislation under the </w:t>
      </w:r>
      <w:r w:rsidRPr="007C1B24">
        <w:rPr>
          <w:rFonts w:asciiTheme="minorHAnsi" w:hAnsiTheme="minorHAnsi" w:cs="Times New Roman"/>
          <w:i/>
          <w:szCs w:val="24"/>
        </w:rPr>
        <w:t>Court Rules Act</w:t>
      </w:r>
      <w:r>
        <w:rPr>
          <w:rFonts w:asciiTheme="minorHAnsi" w:hAnsiTheme="minorHAnsi" w:cs="Times New Roman"/>
          <w:szCs w:val="24"/>
        </w:rPr>
        <w:t>.</w:t>
      </w:r>
      <w:r>
        <w:rPr>
          <w:rStyle w:val="EndnoteReference"/>
          <w:rFonts w:asciiTheme="minorHAnsi" w:hAnsiTheme="minorHAnsi" w:cs="Times New Roman"/>
          <w:szCs w:val="24"/>
        </w:rPr>
        <w:endnoteReference w:id="5"/>
      </w:r>
      <w:r>
        <w:rPr>
          <w:rFonts w:asciiTheme="minorHAnsi" w:hAnsiTheme="minorHAnsi" w:cs="Times New Roman"/>
          <w:szCs w:val="24"/>
        </w:rPr>
        <w:t xml:space="preserve">  The fees escalate over the course of a trial.  At the time of the hearing before the Supreme Court of Canada, t</w:t>
      </w:r>
      <w:r w:rsidRPr="007C1B24">
        <w:rPr>
          <w:rFonts w:asciiTheme="minorHAnsi" w:hAnsiTheme="minorHAnsi" w:cs="Times New Roman"/>
          <w:szCs w:val="24"/>
        </w:rPr>
        <w:t>he fees escalate</w:t>
      </w:r>
      <w:r>
        <w:rPr>
          <w:rFonts w:asciiTheme="minorHAnsi" w:hAnsiTheme="minorHAnsi" w:cs="Times New Roman"/>
          <w:szCs w:val="24"/>
        </w:rPr>
        <w:t>d</w:t>
      </w:r>
      <w:r w:rsidRPr="007C1B24">
        <w:rPr>
          <w:rFonts w:asciiTheme="minorHAnsi" w:hAnsiTheme="minorHAnsi" w:cs="Times New Roman"/>
          <w:szCs w:val="24"/>
        </w:rPr>
        <w:t xml:space="preserve"> from no fee for the first three days of trial, to five hundred dollars for days four to ten, to eight hundred dollars for each day over ten.</w:t>
      </w:r>
      <w:r>
        <w:rPr>
          <w:rFonts w:asciiTheme="minorHAnsi" w:hAnsiTheme="minorHAnsi" w:cs="Times New Roman"/>
          <w:szCs w:val="24"/>
        </w:rPr>
        <w:t xml:space="preserve">  As noted by the SCC, BC hearing days command “</w:t>
      </w:r>
      <w:r w:rsidRPr="007C1B24">
        <w:rPr>
          <w:rFonts w:asciiTheme="minorHAnsi" w:hAnsiTheme="minorHAnsi" w:cs="Times New Roman"/>
          <w:szCs w:val="24"/>
        </w:rPr>
        <w:t>the highest price tag in the country</w:t>
      </w:r>
      <w:r>
        <w:rPr>
          <w:rFonts w:asciiTheme="minorHAnsi" w:hAnsiTheme="minorHAnsi" w:cs="Times New Roman"/>
          <w:szCs w:val="24"/>
        </w:rPr>
        <w:t>.”</w:t>
      </w:r>
      <w:r>
        <w:rPr>
          <w:rStyle w:val="EndnoteReference"/>
          <w:rFonts w:asciiTheme="minorHAnsi" w:hAnsiTheme="minorHAnsi" w:cs="Times New Roman"/>
          <w:szCs w:val="24"/>
        </w:rPr>
        <w:endnoteReference w:id="6"/>
      </w:r>
      <w:r>
        <w:rPr>
          <w:rFonts w:asciiTheme="minorHAnsi" w:hAnsiTheme="minorHAnsi" w:cs="Times New Roman"/>
          <w:szCs w:val="24"/>
        </w:rPr>
        <w:t xml:space="preserve"> </w:t>
      </w:r>
      <w:r w:rsidRPr="00040B2D">
        <w:rPr>
          <w:rFonts w:asciiTheme="minorHAnsi" w:hAnsiTheme="minorHAnsi" w:cs="Times New Roman"/>
          <w:szCs w:val="24"/>
        </w:rPr>
        <w:t>The party that sets a case down for trial (usually the plaintiff) is required to undertake to pay the hearing fee — regardless of whether the trial length is based on that party’s estimate or the estimate of the other party or the court.</w:t>
      </w:r>
    </w:p>
    <w:p w14:paraId="60FF289C" w14:textId="5FE9C027" w:rsidR="00325C3F" w:rsidRPr="007C1B24" w:rsidRDefault="00325C3F" w:rsidP="003772F1">
      <w:pPr>
        <w:pStyle w:val="ParaNoNdepar-AltN"/>
        <w:numPr>
          <w:ilvl w:val="0"/>
          <w:numId w:val="0"/>
        </w:numPr>
        <w:spacing w:line="240" w:lineRule="auto"/>
        <w:rPr>
          <w:rFonts w:asciiTheme="minorHAnsi" w:hAnsiTheme="minorHAnsi" w:cs="Times New Roman"/>
          <w:szCs w:val="24"/>
        </w:rPr>
      </w:pPr>
      <w:r>
        <w:rPr>
          <w:rFonts w:asciiTheme="minorHAnsi" w:hAnsiTheme="minorHAnsi" w:cs="Times New Roman"/>
          <w:szCs w:val="24"/>
        </w:rPr>
        <w:t xml:space="preserve">Under the former regulation, judges had the discretion to exempt a party from paying hearing fees if they could prove “indigence”. In 2010 (after this case), the </w:t>
      </w:r>
      <w:r>
        <w:rPr>
          <w:rFonts w:asciiTheme="minorHAnsi" w:hAnsiTheme="minorHAnsi" w:cs="Times New Roman"/>
          <w:szCs w:val="24"/>
        </w:rPr>
        <w:lastRenderedPageBreak/>
        <w:t>language of the exemption provision was amended such that the exemption was available to persons who receive employment insurance, social assistance or is</w:t>
      </w:r>
      <w:r w:rsidRPr="007C1B24">
        <w:rPr>
          <w:rFonts w:asciiTheme="minorHAnsi" w:hAnsiTheme="minorHAnsi"/>
        </w:rPr>
        <w:t xml:space="preserve"> otherwise impoverished</w:t>
      </w:r>
      <w:r>
        <w:rPr>
          <w:rFonts w:asciiTheme="minorHAnsi" w:hAnsiTheme="minorHAnsi"/>
        </w:rPr>
        <w:t>.</w:t>
      </w:r>
      <w:r>
        <w:rPr>
          <w:rStyle w:val="EndnoteReference"/>
          <w:rFonts w:asciiTheme="minorHAnsi" w:hAnsiTheme="minorHAnsi"/>
        </w:rPr>
        <w:endnoteReference w:id="7"/>
      </w:r>
      <w:r>
        <w:rPr>
          <w:rFonts w:asciiTheme="minorHAnsi" w:hAnsiTheme="minorHAnsi" w:cs="Times New Roman"/>
          <w:szCs w:val="24"/>
        </w:rPr>
        <w:t xml:space="preserve"> </w:t>
      </w:r>
    </w:p>
    <w:p w14:paraId="3B5B3260" w14:textId="1B8CB249" w:rsidR="00325C3F" w:rsidRDefault="00325C3F" w:rsidP="00405B3F">
      <w:pPr>
        <w:pStyle w:val="ParaNoNdepar-AltN"/>
        <w:numPr>
          <w:ilvl w:val="0"/>
          <w:numId w:val="0"/>
        </w:numPr>
        <w:spacing w:line="240" w:lineRule="auto"/>
        <w:rPr>
          <w:rFonts w:asciiTheme="minorHAnsi" w:hAnsiTheme="minorHAnsi" w:cs="Times New Roman"/>
          <w:szCs w:val="24"/>
        </w:rPr>
      </w:pPr>
      <w:r>
        <w:rPr>
          <w:rFonts w:asciiTheme="minorHAnsi" w:hAnsiTheme="minorHAnsi" w:cs="Times New Roman"/>
          <w:szCs w:val="24"/>
        </w:rPr>
        <w:t xml:space="preserve">Neither parent was represented at trial and the hearing took 10 days.  At the conclusion of the trial, McEwan J. returned to the mother’s request to be exempted from the hearing fees.  </w:t>
      </w:r>
      <w:r w:rsidRPr="007C1B24">
        <w:rPr>
          <w:rFonts w:asciiTheme="minorHAnsi" w:hAnsiTheme="minorHAnsi" w:cs="Times New Roman"/>
          <w:szCs w:val="24"/>
        </w:rPr>
        <w:t xml:space="preserve">The hearing </w:t>
      </w:r>
      <w:r>
        <w:rPr>
          <w:rFonts w:asciiTheme="minorHAnsi" w:hAnsiTheme="minorHAnsi" w:cs="Times New Roman"/>
          <w:szCs w:val="24"/>
        </w:rPr>
        <w:t xml:space="preserve">fee amounted to some $3,600.00, which was </w:t>
      </w:r>
      <w:r w:rsidRPr="007C1B24">
        <w:rPr>
          <w:rFonts w:asciiTheme="minorHAnsi" w:hAnsiTheme="minorHAnsi" w:cs="Times New Roman"/>
          <w:szCs w:val="24"/>
        </w:rPr>
        <w:t>almost the net monthly income of the family</w:t>
      </w:r>
      <w:r>
        <w:rPr>
          <w:rFonts w:asciiTheme="minorHAnsi" w:hAnsiTheme="minorHAnsi" w:cs="Times New Roman"/>
          <w:szCs w:val="24"/>
        </w:rPr>
        <w:t>.</w:t>
      </w:r>
      <w:r>
        <w:rPr>
          <w:rStyle w:val="EndnoteReference"/>
          <w:rFonts w:asciiTheme="minorHAnsi" w:hAnsiTheme="minorHAnsi" w:cs="Times New Roman"/>
          <w:szCs w:val="24"/>
        </w:rPr>
        <w:endnoteReference w:id="8"/>
      </w:r>
      <w:r w:rsidRPr="007C1B24">
        <w:rPr>
          <w:rFonts w:asciiTheme="minorHAnsi" w:hAnsiTheme="minorHAnsi" w:cs="Times New Roman"/>
          <w:szCs w:val="24"/>
        </w:rPr>
        <w:t xml:space="preserve"> </w:t>
      </w:r>
      <w:r>
        <w:rPr>
          <w:rFonts w:asciiTheme="minorHAnsi" w:hAnsiTheme="minorHAnsi" w:cs="Times New Roman"/>
          <w:szCs w:val="24"/>
        </w:rPr>
        <w:t xml:space="preserve"> The mother was </w:t>
      </w:r>
      <w:r w:rsidRPr="007C1B24">
        <w:rPr>
          <w:rFonts w:asciiTheme="minorHAnsi" w:hAnsiTheme="minorHAnsi" w:cs="Times New Roman"/>
          <w:szCs w:val="24"/>
        </w:rPr>
        <w:t xml:space="preserve">not </w:t>
      </w:r>
      <w:r>
        <w:rPr>
          <w:rFonts w:asciiTheme="minorHAnsi" w:hAnsiTheme="minorHAnsi" w:cs="Times New Roman"/>
          <w:szCs w:val="24"/>
        </w:rPr>
        <w:t>indigent (or impoverished)</w:t>
      </w:r>
      <w:r w:rsidRPr="007C1B24">
        <w:rPr>
          <w:rFonts w:asciiTheme="minorHAnsi" w:hAnsiTheme="minorHAnsi" w:cs="Times New Roman"/>
          <w:szCs w:val="24"/>
        </w:rPr>
        <w:t xml:space="preserve"> in</w:t>
      </w:r>
      <w:r>
        <w:rPr>
          <w:rFonts w:asciiTheme="minorHAnsi" w:hAnsiTheme="minorHAnsi" w:cs="Times New Roman"/>
          <w:szCs w:val="24"/>
        </w:rPr>
        <w:t xml:space="preserve"> the ordinary sense of the words given that she is a qualified veterinarian in Europe and had some assets.  Nevertheless, the trial judge found that she could not afford the hearing fees.</w:t>
      </w:r>
    </w:p>
    <w:p w14:paraId="0C242DAF" w14:textId="2CD213BB" w:rsidR="00325C3F" w:rsidRDefault="00325C3F" w:rsidP="00CE04A1">
      <w:pPr>
        <w:pStyle w:val="ParaNoNdepar-AltN"/>
        <w:numPr>
          <w:ilvl w:val="0"/>
          <w:numId w:val="0"/>
        </w:numPr>
        <w:spacing w:line="240" w:lineRule="auto"/>
        <w:rPr>
          <w:rFonts w:asciiTheme="minorHAnsi" w:hAnsiTheme="minorHAnsi" w:cs="Times New Roman"/>
          <w:szCs w:val="24"/>
        </w:rPr>
      </w:pPr>
      <w:r>
        <w:rPr>
          <w:rFonts w:asciiTheme="minorHAnsi" w:hAnsiTheme="minorHAnsi" w:cs="Times New Roman"/>
          <w:szCs w:val="24"/>
        </w:rPr>
        <w:t xml:space="preserve">Aware of some </w:t>
      </w:r>
      <w:r w:rsidRPr="007C1B24">
        <w:rPr>
          <w:rFonts w:asciiTheme="minorHAnsi" w:hAnsiTheme="minorHAnsi" w:cs="Times New Roman"/>
          <w:szCs w:val="24"/>
        </w:rPr>
        <w:t>authority for the proposition that hearing fees are unconstitutional,</w:t>
      </w:r>
      <w:r>
        <w:rPr>
          <w:rStyle w:val="EndnoteReference"/>
          <w:rFonts w:asciiTheme="minorHAnsi" w:hAnsiTheme="minorHAnsi" w:cs="Times New Roman"/>
          <w:szCs w:val="24"/>
        </w:rPr>
        <w:endnoteReference w:id="9"/>
      </w:r>
      <w:r w:rsidRPr="007C1B24">
        <w:rPr>
          <w:rFonts w:asciiTheme="minorHAnsi" w:hAnsiTheme="minorHAnsi" w:cs="Times New Roman"/>
          <w:szCs w:val="24"/>
        </w:rPr>
        <w:t xml:space="preserve"> the </w:t>
      </w:r>
      <w:r>
        <w:rPr>
          <w:rFonts w:asciiTheme="minorHAnsi" w:hAnsiTheme="minorHAnsi" w:cs="Times New Roman"/>
          <w:szCs w:val="24"/>
        </w:rPr>
        <w:t xml:space="preserve">trial </w:t>
      </w:r>
      <w:r w:rsidRPr="007C1B24">
        <w:rPr>
          <w:rFonts w:asciiTheme="minorHAnsi" w:hAnsiTheme="minorHAnsi" w:cs="Times New Roman"/>
          <w:szCs w:val="24"/>
        </w:rPr>
        <w:t>judge held that the Attorney General should be given an opportunity to intervene</w:t>
      </w:r>
      <w:r>
        <w:rPr>
          <w:rFonts w:asciiTheme="minorHAnsi" w:hAnsiTheme="minorHAnsi" w:cs="Times New Roman"/>
          <w:szCs w:val="24"/>
        </w:rPr>
        <w:t>.</w:t>
      </w:r>
      <w:r w:rsidRPr="007C1B24">
        <w:rPr>
          <w:rFonts w:asciiTheme="minorHAnsi" w:hAnsiTheme="minorHAnsi" w:cs="Times New Roman"/>
          <w:szCs w:val="24"/>
        </w:rPr>
        <w:t xml:space="preserve">  He also invited submissions from the Law Society of British Columbia and the B.C. branch of the Canadian Bar Association. </w:t>
      </w:r>
      <w:r>
        <w:rPr>
          <w:rFonts w:asciiTheme="minorHAnsi" w:hAnsiTheme="minorHAnsi" w:cs="Times New Roman"/>
          <w:szCs w:val="24"/>
        </w:rPr>
        <w:t>T</w:t>
      </w:r>
      <w:r w:rsidRPr="007C1B24">
        <w:rPr>
          <w:rFonts w:asciiTheme="minorHAnsi" w:hAnsiTheme="minorHAnsi" w:cs="Times New Roman"/>
          <w:szCs w:val="24"/>
        </w:rPr>
        <w:t xml:space="preserve">he </w:t>
      </w:r>
      <w:r>
        <w:rPr>
          <w:rFonts w:asciiTheme="minorHAnsi" w:hAnsiTheme="minorHAnsi" w:cs="Times New Roman"/>
          <w:szCs w:val="24"/>
        </w:rPr>
        <w:t xml:space="preserve">CBABC </w:t>
      </w:r>
      <w:r w:rsidRPr="007C1B24">
        <w:rPr>
          <w:rFonts w:asciiTheme="minorHAnsi" w:hAnsiTheme="minorHAnsi" w:cs="Times New Roman"/>
          <w:szCs w:val="24"/>
        </w:rPr>
        <w:t xml:space="preserve">and the </w:t>
      </w:r>
      <w:r>
        <w:rPr>
          <w:rFonts w:asciiTheme="minorHAnsi" w:hAnsiTheme="minorHAnsi" w:cs="Times New Roman"/>
          <w:szCs w:val="24"/>
        </w:rPr>
        <w:t>TLABC</w:t>
      </w:r>
      <w:r w:rsidRPr="007C1B24">
        <w:rPr>
          <w:rFonts w:asciiTheme="minorHAnsi" w:hAnsiTheme="minorHAnsi" w:cs="Times New Roman"/>
          <w:szCs w:val="24"/>
        </w:rPr>
        <w:t xml:space="preserve"> intervened and challenged the hearing fee scheme as unconstitutional.  </w:t>
      </w:r>
      <w:r>
        <w:rPr>
          <w:rFonts w:asciiTheme="minorHAnsi" w:hAnsiTheme="minorHAnsi" w:cs="Times New Roman"/>
          <w:szCs w:val="24"/>
        </w:rPr>
        <w:t>CBABC counsel contacted Access to Justice Pro Bono to ensure that the mother had independent counsel.</w:t>
      </w:r>
      <w:r>
        <w:rPr>
          <w:rStyle w:val="EndnoteReference"/>
          <w:rFonts w:asciiTheme="minorHAnsi" w:hAnsiTheme="minorHAnsi" w:cs="Times New Roman"/>
          <w:szCs w:val="24"/>
        </w:rPr>
        <w:endnoteReference w:id="10"/>
      </w:r>
      <w:r>
        <w:rPr>
          <w:rFonts w:asciiTheme="minorHAnsi" w:hAnsiTheme="minorHAnsi" w:cs="Times New Roman"/>
          <w:szCs w:val="24"/>
        </w:rPr>
        <w:t xml:space="preserve"> Counsel for the two associations also sought the assistance of Professor Susan Boyd and Robert Carson who volunteered their services as experts providing evidence on the unequal, gendered impact of relationship breakdown and the widespread and unequal ability to pay hearing fees about BC residents.</w:t>
      </w:r>
    </w:p>
    <w:p w14:paraId="7ABCCFFB" w14:textId="0223E412" w:rsidR="00325C3F" w:rsidRPr="007C1B24" w:rsidRDefault="00325C3F" w:rsidP="00CE04A1">
      <w:pPr>
        <w:pStyle w:val="ParaNoNdepar-AltN"/>
        <w:numPr>
          <w:ilvl w:val="0"/>
          <w:numId w:val="0"/>
        </w:numPr>
        <w:spacing w:line="240" w:lineRule="auto"/>
        <w:rPr>
          <w:rFonts w:asciiTheme="minorHAnsi" w:hAnsiTheme="minorHAnsi" w:cs="Times New Roman"/>
          <w:szCs w:val="24"/>
        </w:rPr>
      </w:pPr>
      <w:r>
        <w:rPr>
          <w:rFonts w:asciiTheme="minorHAnsi" w:hAnsiTheme="minorHAnsi" w:cs="Times New Roman"/>
          <w:szCs w:val="24"/>
        </w:rPr>
        <w:t xml:space="preserve">TLABC and CBABC </w:t>
      </w:r>
      <w:r w:rsidRPr="007C1B24">
        <w:rPr>
          <w:rFonts w:asciiTheme="minorHAnsi" w:hAnsiTheme="minorHAnsi" w:cs="Times New Roman"/>
          <w:szCs w:val="24"/>
        </w:rPr>
        <w:t>argued t</w:t>
      </w:r>
      <w:r>
        <w:rPr>
          <w:rFonts w:asciiTheme="minorHAnsi" w:hAnsiTheme="minorHAnsi" w:cs="Times New Roman"/>
          <w:szCs w:val="24"/>
        </w:rPr>
        <w:t>hat people who possess</w:t>
      </w:r>
      <w:r w:rsidRPr="007C1B24">
        <w:rPr>
          <w:rFonts w:asciiTheme="minorHAnsi" w:hAnsiTheme="minorHAnsi" w:cs="Times New Roman"/>
          <w:szCs w:val="24"/>
        </w:rPr>
        <w:t xml:space="preserve"> some means but </w:t>
      </w:r>
      <w:r>
        <w:rPr>
          <w:rFonts w:asciiTheme="minorHAnsi" w:hAnsiTheme="minorHAnsi" w:cs="Times New Roman"/>
          <w:szCs w:val="24"/>
        </w:rPr>
        <w:t xml:space="preserve">are </w:t>
      </w:r>
      <w:r w:rsidRPr="007C1B24">
        <w:rPr>
          <w:rFonts w:asciiTheme="minorHAnsi" w:hAnsiTheme="minorHAnsi" w:cs="Times New Roman"/>
          <w:szCs w:val="24"/>
        </w:rPr>
        <w:t>no</w:t>
      </w:r>
      <w:r>
        <w:rPr>
          <w:rFonts w:asciiTheme="minorHAnsi" w:hAnsiTheme="minorHAnsi" w:cs="Times New Roman"/>
          <w:szCs w:val="24"/>
        </w:rPr>
        <w:t xml:space="preserve">t able to pay the hearing fee </w:t>
      </w:r>
      <w:r w:rsidRPr="007C1B24">
        <w:rPr>
          <w:rFonts w:asciiTheme="minorHAnsi" w:hAnsiTheme="minorHAnsi" w:cs="Times New Roman"/>
          <w:szCs w:val="24"/>
        </w:rPr>
        <w:t>have the right to have a court adjudicate their legal disputes, and that the hearing fee regime in British Columbia essentially denies them that right.</w:t>
      </w:r>
      <w:r>
        <w:rPr>
          <w:rFonts w:asciiTheme="minorHAnsi" w:hAnsiTheme="minorHAnsi" w:cs="Times New Roman"/>
          <w:szCs w:val="24"/>
        </w:rPr>
        <w:t xml:space="preserve">  It was argued that the denial of this right infringed written and unwritten provisions of the Constitution: the foundational principles of the rule of law, judicial independence, and substantive equality, s. 96 of the </w:t>
      </w:r>
      <w:r>
        <w:rPr>
          <w:rFonts w:asciiTheme="minorHAnsi" w:hAnsiTheme="minorHAnsi" w:cs="Times New Roman"/>
          <w:i/>
          <w:szCs w:val="24"/>
        </w:rPr>
        <w:t>Constitution Act, 1867</w:t>
      </w:r>
      <w:r>
        <w:rPr>
          <w:rFonts w:asciiTheme="minorHAnsi" w:hAnsiTheme="minorHAnsi" w:cs="Times New Roman"/>
          <w:szCs w:val="24"/>
        </w:rPr>
        <w:t xml:space="preserve">, and s. 7 of the </w:t>
      </w:r>
      <w:r w:rsidRPr="00660EA5">
        <w:rPr>
          <w:rFonts w:asciiTheme="minorHAnsi" w:hAnsiTheme="minorHAnsi" w:cs="Times New Roman"/>
          <w:i/>
          <w:szCs w:val="24"/>
        </w:rPr>
        <w:t>Charter</w:t>
      </w:r>
      <w:r>
        <w:rPr>
          <w:rFonts w:asciiTheme="minorHAnsi" w:hAnsiTheme="minorHAnsi" w:cs="Times New Roman"/>
          <w:szCs w:val="24"/>
        </w:rPr>
        <w:t xml:space="preserve">. Hearing fees were also argued to amount to the sale of justice. Emphasis was placed on the unequal impact of the hearing fees as established through the expert evidence. </w:t>
      </w:r>
    </w:p>
    <w:p w14:paraId="554522EE" w14:textId="070CB28E" w:rsidR="00325C3F" w:rsidRPr="0071346E" w:rsidRDefault="00325C3F" w:rsidP="0071346E">
      <w:pPr>
        <w:pStyle w:val="ParaNoNdepar-AltN"/>
        <w:numPr>
          <w:ilvl w:val="0"/>
          <w:numId w:val="0"/>
        </w:numPr>
        <w:spacing w:line="240" w:lineRule="auto"/>
        <w:rPr>
          <w:rFonts w:asciiTheme="minorHAnsi" w:hAnsiTheme="minorHAnsi" w:cs="Times New Roman"/>
          <w:szCs w:val="24"/>
        </w:rPr>
      </w:pPr>
      <w:r>
        <w:rPr>
          <w:rFonts w:asciiTheme="minorHAnsi" w:hAnsiTheme="minorHAnsi" w:cs="Times New Roman"/>
          <w:szCs w:val="24"/>
        </w:rPr>
        <w:t>T</w:t>
      </w:r>
      <w:r w:rsidRPr="007C1B24">
        <w:rPr>
          <w:rFonts w:asciiTheme="minorHAnsi" w:hAnsiTheme="minorHAnsi" w:cs="Times New Roman"/>
          <w:szCs w:val="24"/>
        </w:rPr>
        <w:t xml:space="preserve">he trial judge </w:t>
      </w:r>
      <w:r>
        <w:rPr>
          <w:rFonts w:asciiTheme="minorHAnsi" w:hAnsiTheme="minorHAnsi" w:cs="Times New Roman"/>
          <w:szCs w:val="24"/>
        </w:rPr>
        <w:t xml:space="preserve">employed a thorough and integrated constitutional analysis focusing on the core function of the superior courts.  He </w:t>
      </w:r>
      <w:r w:rsidRPr="007C1B24">
        <w:rPr>
          <w:rFonts w:asciiTheme="minorHAnsi" w:hAnsiTheme="minorHAnsi" w:cs="Times New Roman"/>
          <w:szCs w:val="24"/>
        </w:rPr>
        <w:t xml:space="preserve">ruled that </w:t>
      </w:r>
      <w:r>
        <w:rPr>
          <w:rFonts w:asciiTheme="minorHAnsi" w:hAnsiTheme="minorHAnsi" w:cs="Times New Roman"/>
          <w:szCs w:val="24"/>
        </w:rPr>
        <w:t xml:space="preserve">hearing fees are unconstitutional. </w:t>
      </w:r>
      <w:r w:rsidRPr="007C1B24">
        <w:rPr>
          <w:rFonts w:asciiTheme="minorHAnsi" w:hAnsiTheme="minorHAnsi" w:cs="Times New Roman"/>
          <w:szCs w:val="24"/>
        </w:rPr>
        <w:t>The Court of Appeal agreed that the scheme could not stand as it is, but held that if the exemption provision were expanded by reading in the words “or in need”, it would pass constitutional muster</w:t>
      </w:r>
      <w:r>
        <w:rPr>
          <w:rFonts w:asciiTheme="minorHAnsi" w:hAnsiTheme="minorHAnsi" w:cs="Times New Roman"/>
          <w:szCs w:val="24"/>
        </w:rPr>
        <w:t>.</w:t>
      </w:r>
      <w:r>
        <w:rPr>
          <w:rStyle w:val="EndnoteReference"/>
          <w:rFonts w:asciiTheme="minorHAnsi" w:hAnsiTheme="minorHAnsi" w:cs="Times New Roman"/>
          <w:szCs w:val="24"/>
        </w:rPr>
        <w:endnoteReference w:id="11"/>
      </w:r>
      <w:r>
        <w:rPr>
          <w:rFonts w:asciiTheme="minorHAnsi" w:hAnsiTheme="minorHAnsi" w:cs="Times New Roman"/>
          <w:szCs w:val="24"/>
        </w:rPr>
        <w:t xml:space="preserve">  The mother was granted the exemption and her private interest in the matter was extinguished.  </w:t>
      </w:r>
      <w:r w:rsidRPr="007C1B24">
        <w:rPr>
          <w:rFonts w:asciiTheme="minorHAnsi" w:hAnsiTheme="minorHAnsi" w:cs="Times New Roman"/>
          <w:szCs w:val="24"/>
        </w:rPr>
        <w:t>The T</w:t>
      </w:r>
      <w:r>
        <w:rPr>
          <w:rFonts w:asciiTheme="minorHAnsi" w:hAnsiTheme="minorHAnsi" w:cs="Times New Roman"/>
          <w:szCs w:val="24"/>
        </w:rPr>
        <w:t xml:space="preserve">LABC sought leave to appeal which was granted.  The TLABC and CBABC were granted the rights of party appellants.  </w:t>
      </w:r>
    </w:p>
    <w:p w14:paraId="5859F6CD" w14:textId="0E5DF75C" w:rsidR="00325C3F" w:rsidRPr="00D5060C" w:rsidRDefault="00325C3F" w:rsidP="00FD6E18">
      <w:pPr>
        <w:spacing w:before="100" w:beforeAutospacing="1" w:after="100" w:afterAutospacing="1"/>
        <w:rPr>
          <w:rFonts w:cs="Times New Roman"/>
          <w:i/>
        </w:rPr>
      </w:pPr>
      <w:r>
        <w:rPr>
          <w:rFonts w:cs="Times New Roman"/>
          <w:i/>
        </w:rPr>
        <w:lastRenderedPageBreak/>
        <w:t>Majority Decision</w:t>
      </w:r>
    </w:p>
    <w:p w14:paraId="2D662858" w14:textId="0FDAAA58" w:rsidR="00325C3F" w:rsidRDefault="00325C3F" w:rsidP="00F418A0">
      <w:pPr>
        <w:spacing w:before="100" w:beforeAutospacing="1" w:after="100" w:afterAutospacing="1"/>
        <w:jc w:val="both"/>
        <w:rPr>
          <w:rFonts w:cs="Times New Roman"/>
        </w:rPr>
      </w:pPr>
      <w:r w:rsidRPr="007C1B24">
        <w:rPr>
          <w:rFonts w:cs="Times New Roman"/>
        </w:rPr>
        <w:t>The SCC’s analysis upholds McEwan J</w:t>
      </w:r>
      <w:r>
        <w:rPr>
          <w:rFonts w:cs="Times New Roman"/>
        </w:rPr>
        <w:t>.</w:t>
      </w:r>
      <w:r w:rsidRPr="007C1B24">
        <w:rPr>
          <w:rFonts w:cs="Times New Roman"/>
        </w:rPr>
        <w:t>’s judgment.</w:t>
      </w:r>
      <w:r>
        <w:rPr>
          <w:rFonts w:cs="Times New Roman"/>
        </w:rPr>
        <w:t xml:space="preserve"> Writing for the majority</w:t>
      </w:r>
      <w:r>
        <w:rPr>
          <w:rStyle w:val="EndnoteReference"/>
          <w:rFonts w:cs="Times New Roman"/>
        </w:rPr>
        <w:endnoteReference w:id="12"/>
      </w:r>
      <w:r>
        <w:rPr>
          <w:rFonts w:cs="Times New Roman"/>
        </w:rPr>
        <w:t xml:space="preserve">, Chief Justice McLachlin concluded that </w:t>
      </w:r>
      <w:r w:rsidRPr="007C1B24">
        <w:rPr>
          <w:rFonts w:cs="Times New Roman"/>
          <w:lang w:val="en-CA"/>
        </w:rPr>
        <w:t xml:space="preserve">court hearing fees that deny some people access to the courts are constitutional.  </w:t>
      </w:r>
      <w:r>
        <w:rPr>
          <w:rFonts w:cs="Times New Roman"/>
          <w:lang w:val="en-CA"/>
        </w:rPr>
        <w:t xml:space="preserve">Pursuant to </w:t>
      </w:r>
      <w:r w:rsidRPr="007C1B24">
        <w:rPr>
          <w:rFonts w:cs="Times New Roman"/>
        </w:rPr>
        <w:t xml:space="preserve">the </w:t>
      </w:r>
      <w:r w:rsidRPr="007C1B24">
        <w:rPr>
          <w:rFonts w:cs="Times New Roman"/>
          <w:i/>
        </w:rPr>
        <w:t>Constitution Act, 1867</w:t>
      </w:r>
      <w:r>
        <w:rPr>
          <w:rFonts w:cs="Times New Roman"/>
          <w:lang w:val="en-CA"/>
        </w:rPr>
        <w:t>, the province can establish hearing fees under its power to administer justice under s.92(14)</w:t>
      </w:r>
      <w:r>
        <w:rPr>
          <w:rFonts w:cs="Times New Roman"/>
        </w:rPr>
        <w:t xml:space="preserve"> but </w:t>
      </w:r>
      <w:r w:rsidRPr="007C1B24">
        <w:rPr>
          <w:rFonts w:cs="Times New Roman"/>
        </w:rPr>
        <w:t xml:space="preserve"> </w:t>
      </w:r>
      <w:r>
        <w:rPr>
          <w:rFonts w:cs="Times New Roman"/>
        </w:rPr>
        <w:t>this power must be “</w:t>
      </w:r>
      <w:r w:rsidRPr="007C1B24">
        <w:rPr>
          <w:rFonts w:cs="Times New Roman"/>
        </w:rPr>
        <w:t>exercised harmoniously with the core jurisdiction of provincial superior courts</w:t>
      </w:r>
      <w:r>
        <w:rPr>
          <w:rFonts w:cs="Times New Roman"/>
        </w:rPr>
        <w:t>”</w:t>
      </w:r>
      <w:r w:rsidRPr="007C1B24">
        <w:rPr>
          <w:rFonts w:cs="Times New Roman"/>
        </w:rPr>
        <w:t xml:space="preserve"> protected by s. 96</w:t>
      </w:r>
      <w:r>
        <w:rPr>
          <w:rFonts w:cs="Times New Roman"/>
        </w:rPr>
        <w:t>.</w:t>
      </w:r>
      <w:r>
        <w:rPr>
          <w:rStyle w:val="EndnoteReference"/>
          <w:rFonts w:cs="Times New Roman"/>
        </w:rPr>
        <w:endnoteReference w:id="13"/>
      </w:r>
      <w:r>
        <w:rPr>
          <w:rFonts w:cs="Times New Roman"/>
        </w:rPr>
        <w:t xml:space="preserve">  The </w:t>
      </w:r>
      <w:r w:rsidRPr="007C1B24">
        <w:rPr>
          <w:rFonts w:cs="Times New Roman"/>
        </w:rPr>
        <w:t xml:space="preserve">fees impermissibly infringe on </w:t>
      </w:r>
      <w:r>
        <w:rPr>
          <w:rFonts w:cs="Times New Roman"/>
        </w:rPr>
        <w:t xml:space="preserve">s.96 </w:t>
      </w:r>
      <w:r w:rsidRPr="007C1B24">
        <w:rPr>
          <w:rFonts w:cs="Times New Roman"/>
        </w:rPr>
        <w:t>by, in effect, denying some people access to the courts.</w:t>
      </w:r>
      <w:r>
        <w:rPr>
          <w:rStyle w:val="EndnoteReference"/>
          <w:rFonts w:cs="Times New Roman"/>
        </w:rPr>
        <w:endnoteReference w:id="14"/>
      </w:r>
      <w:r>
        <w:rPr>
          <w:rFonts w:cs="Times New Roman"/>
        </w:rPr>
        <w:t xml:space="preserve"> </w:t>
      </w:r>
    </w:p>
    <w:p w14:paraId="21B34D81" w14:textId="7DEA8D8C" w:rsidR="00325C3F" w:rsidRDefault="00325C3F" w:rsidP="00F418A0">
      <w:pPr>
        <w:spacing w:before="100" w:beforeAutospacing="1" w:after="100" w:afterAutospacing="1"/>
        <w:jc w:val="both"/>
        <w:rPr>
          <w:rFonts w:cs="Times New Roman"/>
        </w:rPr>
      </w:pPr>
      <w:r>
        <w:rPr>
          <w:rFonts w:cs="Times New Roman"/>
        </w:rPr>
        <w:t xml:space="preserve">Provinces have the power to impose hearing fees but this power is not unlimited: “particular grants of power must be read together with other grants of power </w:t>
      </w:r>
      <w:r w:rsidRPr="007C1B24">
        <w:rPr>
          <w:rFonts w:cs="Times New Roman"/>
        </w:rPr>
        <w:t>so that the Constitution operates as an internally consistent harmonious whole.</w:t>
      </w:r>
      <w:r>
        <w:rPr>
          <w:rFonts w:cs="Times New Roman"/>
        </w:rPr>
        <w:t>”</w:t>
      </w:r>
      <w:r>
        <w:rPr>
          <w:rStyle w:val="EndnoteReference"/>
          <w:rFonts w:cs="Times New Roman"/>
        </w:rPr>
        <w:endnoteReference w:id="15"/>
      </w:r>
      <w:r w:rsidRPr="007C1B24">
        <w:rPr>
          <w:rFonts w:cs="Times New Roman"/>
        </w:rPr>
        <w:t xml:space="preserve">  </w:t>
      </w:r>
      <w:r>
        <w:rPr>
          <w:rFonts w:cs="Times New Roman"/>
        </w:rPr>
        <w:t xml:space="preserve"> Section 92(14) does not operate in isolation, exercise of this power must be consistent with other constitutional provisions, in this case s. 96 and with the requirements that flow by necessary implication from those terms.</w:t>
      </w:r>
      <w:r>
        <w:rPr>
          <w:rStyle w:val="EndnoteReference"/>
          <w:rFonts w:cs="Times New Roman"/>
        </w:rPr>
        <w:endnoteReference w:id="16"/>
      </w:r>
      <w:r>
        <w:rPr>
          <w:rFonts w:cs="Times New Roman"/>
        </w:rPr>
        <w:t xml:space="preserve">  </w:t>
      </w:r>
    </w:p>
    <w:p w14:paraId="0AB29040" w14:textId="62F07141" w:rsidR="00325C3F" w:rsidRPr="00865D9A" w:rsidRDefault="00325C3F" w:rsidP="00865D9A">
      <w:pPr>
        <w:spacing w:before="100" w:beforeAutospacing="1" w:after="100" w:afterAutospacing="1"/>
        <w:rPr>
          <w:rFonts w:cs="Times New Roman"/>
        </w:rPr>
      </w:pPr>
      <w:r>
        <w:rPr>
          <w:rFonts w:cs="Times New Roman"/>
        </w:rPr>
        <w:t>The majority reviewed the jurisprudence on core jurisdiction</w:t>
      </w:r>
      <w:r w:rsidRPr="003C3E5A">
        <w:rPr>
          <w:rStyle w:val="EndnoteReference"/>
          <w:rFonts w:cs="Times New Roman"/>
        </w:rPr>
        <w:endnoteReference w:id="17"/>
      </w:r>
      <w:r>
        <w:rPr>
          <w:rFonts w:cs="Times New Roman"/>
        </w:rPr>
        <w:t xml:space="preserve"> and concluded that hearing fees barred access to the courts in a manner inconsistent with the inherent jurisdiction of s.96:</w:t>
      </w:r>
    </w:p>
    <w:p w14:paraId="7F549494" w14:textId="78C2CA1B" w:rsidR="00325C3F" w:rsidRPr="007C1B24" w:rsidRDefault="00325C3F" w:rsidP="00D23FA9">
      <w:pPr>
        <w:pStyle w:val="Quote"/>
        <w:ind w:left="720"/>
        <w:rPr>
          <w:lang w:val="en-CA"/>
        </w:rPr>
      </w:pPr>
      <w:r w:rsidRPr="007C1B24">
        <w:rPr>
          <w:lang w:val="en-CA"/>
        </w:rPr>
        <w:t>The historic task of the superior courts is to resolve disputes between individuals and decide questions of private and public law.  Measures that prevent people from coming to the courts to have those issues resolved are at odds with this basic judicial function.  The resolution of these disputes and resulting determination of issues of private and public law, viewed in the institutional context of the Canadian justice system, are central to what the superior courts do.  Indeed, it is their very book of business.  To prevent this business being done strikes at the core of the jurisdiction of the superior courts protected by s. 96 of the Constitution Act, 1867. As a result, hearing fees that deny people access to the courts infringe the core jurisdiction of the superior courts.</w:t>
      </w:r>
      <w:r>
        <w:rPr>
          <w:rStyle w:val="EndnoteReference"/>
          <w:rFonts w:cs="Times New Roman"/>
          <w:b/>
          <w:lang w:val="en-CA"/>
        </w:rPr>
        <w:endnoteReference w:id="18"/>
      </w:r>
      <w:r w:rsidRPr="007C1B24">
        <w:rPr>
          <w:lang w:val="en-CA"/>
        </w:rPr>
        <w:t xml:space="preserve"> </w:t>
      </w:r>
    </w:p>
    <w:p w14:paraId="23655A2A" w14:textId="4AFFC6A0" w:rsidR="00325C3F" w:rsidRDefault="00325C3F" w:rsidP="00DC7224">
      <w:pPr>
        <w:pStyle w:val="ParaNoNdepar-AltN"/>
        <w:numPr>
          <w:ilvl w:val="0"/>
          <w:numId w:val="0"/>
        </w:numPr>
        <w:spacing w:line="240" w:lineRule="auto"/>
        <w:rPr>
          <w:rFonts w:asciiTheme="minorHAnsi" w:hAnsiTheme="minorHAnsi" w:cs="Times New Roman"/>
          <w:i/>
          <w:szCs w:val="24"/>
        </w:rPr>
      </w:pPr>
      <w:r>
        <w:rPr>
          <w:rFonts w:asciiTheme="minorHAnsi" w:hAnsiTheme="minorHAnsi" w:cs="Times New Roman"/>
          <w:szCs w:val="24"/>
          <w:lang w:val="en-CA"/>
        </w:rPr>
        <w:t xml:space="preserve">The </w:t>
      </w:r>
      <w:r w:rsidRPr="00CF3CFF">
        <w:rPr>
          <w:rFonts w:asciiTheme="minorHAnsi" w:hAnsiTheme="minorHAnsi" w:cs="Times New Roman"/>
          <w:szCs w:val="24"/>
        </w:rPr>
        <w:t>province’s powers under s. 92(14) must be exercised in a manner that is consistent with the right of individuals to bring their cases to the superior courts and have them resolved there.</w:t>
      </w:r>
      <w:r>
        <w:rPr>
          <w:rFonts w:asciiTheme="minorHAnsi" w:hAnsiTheme="minorHAnsi" w:cs="Times New Roman"/>
          <w:szCs w:val="24"/>
        </w:rPr>
        <w:t xml:space="preserve"> The majority further supported its conclusion by considering the rule of law. The Court reaffirmed that access to the courts is essential to the rule of law referring back to Dickson C.J.’s oft-quoted holding that: </w:t>
      </w:r>
      <w:r w:rsidRPr="007C1B24">
        <w:rPr>
          <w:rFonts w:asciiTheme="minorHAnsi" w:hAnsiTheme="minorHAnsi" w:cs="Times New Roman"/>
          <w:szCs w:val="24"/>
        </w:rPr>
        <w:t>“[t]here cannot be a rule of law without access, otherwise the rule of law is replaced by a rule of men and women who decide who shall and who shall not have access to justice”</w:t>
      </w:r>
      <w:r>
        <w:rPr>
          <w:rFonts w:asciiTheme="minorHAnsi" w:hAnsiTheme="minorHAnsi" w:cs="Times New Roman"/>
          <w:szCs w:val="24"/>
        </w:rPr>
        <w:t>.</w:t>
      </w:r>
      <w:r>
        <w:rPr>
          <w:rStyle w:val="EndnoteReference"/>
          <w:rFonts w:asciiTheme="minorHAnsi" w:hAnsiTheme="minorHAnsi" w:cs="Times New Roman"/>
          <w:szCs w:val="24"/>
        </w:rPr>
        <w:endnoteReference w:id="19"/>
      </w:r>
      <w:r w:rsidRPr="007C1B24">
        <w:rPr>
          <w:rFonts w:asciiTheme="minorHAnsi" w:hAnsiTheme="minorHAnsi" w:cs="Times New Roman"/>
          <w:szCs w:val="24"/>
        </w:rPr>
        <w:t xml:space="preserve"> </w:t>
      </w:r>
      <w:r>
        <w:rPr>
          <w:rFonts w:asciiTheme="minorHAnsi" w:hAnsiTheme="minorHAnsi" w:cs="Times New Roman"/>
          <w:szCs w:val="24"/>
        </w:rPr>
        <w:t xml:space="preserve"> The Court found further support for this conclusion in its decision in </w:t>
      </w:r>
      <w:r>
        <w:rPr>
          <w:rFonts w:asciiTheme="minorHAnsi" w:hAnsiTheme="minorHAnsi" w:cs="Times New Roman"/>
          <w:i/>
          <w:szCs w:val="24"/>
        </w:rPr>
        <w:t>Hryniak,</w:t>
      </w:r>
      <w:r w:rsidRPr="003633AA">
        <w:rPr>
          <w:rStyle w:val="EndnoteReference"/>
          <w:rFonts w:asciiTheme="minorHAnsi" w:hAnsiTheme="minorHAnsi" w:cs="Times New Roman"/>
          <w:szCs w:val="24"/>
        </w:rPr>
        <w:endnoteReference w:id="20"/>
      </w:r>
      <w:r w:rsidRPr="003633AA">
        <w:rPr>
          <w:rFonts w:asciiTheme="minorHAnsi" w:hAnsiTheme="minorHAnsi" w:cs="Times New Roman"/>
          <w:szCs w:val="24"/>
        </w:rPr>
        <w:t xml:space="preserve"> </w:t>
      </w:r>
      <w:r>
        <w:rPr>
          <w:rFonts w:asciiTheme="minorHAnsi" w:hAnsiTheme="minorHAnsi" w:cs="Times New Roman"/>
          <w:szCs w:val="24"/>
        </w:rPr>
        <w:t xml:space="preserve">and more surprisingly, in the BC Court of Appeal’s reasoning in </w:t>
      </w:r>
      <w:r>
        <w:rPr>
          <w:rFonts w:asciiTheme="minorHAnsi" w:hAnsiTheme="minorHAnsi" w:cs="Times New Roman"/>
          <w:i/>
          <w:szCs w:val="24"/>
        </w:rPr>
        <w:t>Christie.</w:t>
      </w:r>
      <w:r>
        <w:rPr>
          <w:rStyle w:val="EndnoteReference"/>
          <w:rFonts w:asciiTheme="minorHAnsi" w:hAnsiTheme="minorHAnsi" w:cs="Times New Roman"/>
          <w:i/>
          <w:szCs w:val="24"/>
        </w:rPr>
        <w:endnoteReference w:id="21"/>
      </w:r>
      <w:r>
        <w:rPr>
          <w:rFonts w:asciiTheme="minorHAnsi" w:hAnsiTheme="minorHAnsi" w:cs="Times New Roman"/>
          <w:i/>
          <w:szCs w:val="24"/>
        </w:rPr>
        <w:t xml:space="preserve"> </w:t>
      </w:r>
    </w:p>
    <w:p w14:paraId="0047DD88" w14:textId="3432BDB1" w:rsidR="00325C3F" w:rsidRPr="003633AA" w:rsidRDefault="00325C3F" w:rsidP="00DC7224">
      <w:pPr>
        <w:pStyle w:val="ParaNoNdepar-AltN"/>
        <w:numPr>
          <w:ilvl w:val="0"/>
          <w:numId w:val="0"/>
        </w:numPr>
        <w:spacing w:line="240" w:lineRule="auto"/>
        <w:rPr>
          <w:rFonts w:asciiTheme="minorHAnsi" w:hAnsiTheme="minorHAnsi" w:cs="Times New Roman"/>
          <w:szCs w:val="24"/>
        </w:rPr>
      </w:pPr>
      <w:r>
        <w:rPr>
          <w:rFonts w:asciiTheme="minorHAnsi" w:hAnsiTheme="minorHAnsi" w:cs="Times New Roman"/>
          <w:szCs w:val="24"/>
        </w:rPr>
        <w:lastRenderedPageBreak/>
        <w:t xml:space="preserve">Some had foreseen that the SCC’s decision in </w:t>
      </w:r>
      <w:r>
        <w:rPr>
          <w:rFonts w:asciiTheme="minorHAnsi" w:hAnsiTheme="minorHAnsi" w:cs="Times New Roman"/>
          <w:i/>
          <w:szCs w:val="24"/>
        </w:rPr>
        <w:t xml:space="preserve">Christie </w:t>
      </w:r>
      <w:r>
        <w:rPr>
          <w:rFonts w:asciiTheme="minorHAnsi" w:hAnsiTheme="minorHAnsi" w:cs="Times New Roman"/>
          <w:szCs w:val="24"/>
        </w:rPr>
        <w:t xml:space="preserve">was a barrier to success in this case – this was clearly a concern of the BC Court of Appeal and in large measure explains its decision to read in a broader exemption rather than find hearing fees unconstitutional.  The majority distinguished </w:t>
      </w:r>
      <w:r>
        <w:rPr>
          <w:rFonts w:asciiTheme="minorHAnsi" w:hAnsiTheme="minorHAnsi" w:cs="Times New Roman"/>
          <w:i/>
          <w:szCs w:val="24"/>
        </w:rPr>
        <w:t>Christie</w:t>
      </w:r>
      <w:r>
        <w:rPr>
          <w:rFonts w:asciiTheme="minorHAnsi" w:hAnsiTheme="minorHAnsi" w:cs="Times New Roman"/>
          <w:szCs w:val="24"/>
        </w:rPr>
        <w:t>:</w:t>
      </w:r>
    </w:p>
    <w:p w14:paraId="26EAA8C1" w14:textId="29464931" w:rsidR="00325C3F" w:rsidRPr="007458FC" w:rsidRDefault="00325C3F" w:rsidP="007458FC">
      <w:pPr>
        <w:pStyle w:val="Quote"/>
        <w:ind w:left="720"/>
        <w:rPr>
          <w:i w:val="0"/>
        </w:rPr>
      </w:pPr>
      <w:r w:rsidRPr="007C1B24">
        <w:t>This Court’s decision in Christie does not undermine the proposition that access to the courts is fundamental to our constitutional arrangements.</w:t>
      </w:r>
      <w:r w:rsidRPr="007C1B24">
        <w:rPr>
          <w:bCs/>
          <w:lang w:val="en-CA"/>
        </w:rPr>
        <w:t xml:space="preserve">  The Court in Christie — a case concerning a 7 percent surcharge on legal services — proceeded on the premise of a fundamental right to access the courts, but held that not “every limit on access to the courts is automatically unconstitutional” (para. 17).  In the present case, the hearing fee requirement has the potential to bar litigants with legitimate claims from the courts.  The tax at issue in Christie, on the evidence and arguments adduced, was not shown to have a similar impact.</w:t>
      </w:r>
      <w:r>
        <w:rPr>
          <w:rStyle w:val="EndnoteReference"/>
          <w:bCs/>
          <w:lang w:val="en-CA"/>
        </w:rPr>
        <w:endnoteReference w:id="22"/>
      </w:r>
    </w:p>
    <w:p w14:paraId="3832FC18" w14:textId="16FDF6B1" w:rsidR="00325C3F" w:rsidRPr="000C3378" w:rsidRDefault="00325C3F" w:rsidP="00732399">
      <w:pPr>
        <w:pStyle w:val="ParaNoNdepar-AltN"/>
        <w:numPr>
          <w:ilvl w:val="0"/>
          <w:numId w:val="0"/>
        </w:numPr>
        <w:spacing w:line="240" w:lineRule="auto"/>
        <w:rPr>
          <w:rFonts w:asciiTheme="minorHAnsi" w:hAnsiTheme="minorHAnsi" w:cs="Times New Roman"/>
          <w:szCs w:val="24"/>
        </w:rPr>
      </w:pPr>
      <w:r>
        <w:rPr>
          <w:rFonts w:asciiTheme="minorHAnsi" w:hAnsiTheme="minorHAnsi" w:cs="Times New Roman"/>
          <w:bCs/>
          <w:szCs w:val="24"/>
          <w:lang w:val="en-CA"/>
        </w:rPr>
        <w:t>The Court concludes that hearing fees will run afoul of the Constitution when they deprive the “basic right of citizens to bring their case to court”, that is “when the hearing fees in question cause undue hardship to the litigant who seeks the adjudication of the superior court.”</w:t>
      </w:r>
      <w:r>
        <w:rPr>
          <w:rStyle w:val="EndnoteReference"/>
          <w:rFonts w:asciiTheme="minorHAnsi" w:hAnsiTheme="minorHAnsi" w:cs="Times New Roman"/>
          <w:bCs/>
          <w:szCs w:val="24"/>
          <w:lang w:val="en-CA"/>
        </w:rPr>
        <w:endnoteReference w:id="23"/>
      </w:r>
    </w:p>
    <w:p w14:paraId="3BE8FE52" w14:textId="4AD9821E" w:rsidR="00325C3F" w:rsidRDefault="00325C3F" w:rsidP="00732399">
      <w:pPr>
        <w:pStyle w:val="ParaNoNdepar-AltN"/>
        <w:numPr>
          <w:ilvl w:val="0"/>
          <w:numId w:val="0"/>
        </w:numPr>
        <w:spacing w:line="240" w:lineRule="auto"/>
        <w:rPr>
          <w:rFonts w:asciiTheme="minorHAnsi" w:hAnsiTheme="minorHAnsi" w:cs="Times New Roman"/>
          <w:i/>
          <w:szCs w:val="24"/>
        </w:rPr>
      </w:pPr>
      <w:r>
        <w:rPr>
          <w:rFonts w:asciiTheme="minorHAnsi" w:hAnsiTheme="minorHAnsi" w:cs="Times New Roman"/>
          <w:i/>
          <w:szCs w:val="24"/>
        </w:rPr>
        <w:t>Remedy</w:t>
      </w:r>
    </w:p>
    <w:p w14:paraId="47393362" w14:textId="6AC4C646" w:rsidR="00325C3F" w:rsidRDefault="00325C3F" w:rsidP="00732399">
      <w:pPr>
        <w:pStyle w:val="ParaNoNdepar-AltN"/>
        <w:numPr>
          <w:ilvl w:val="0"/>
          <w:numId w:val="0"/>
        </w:numPr>
        <w:spacing w:line="240" w:lineRule="auto"/>
        <w:rPr>
          <w:rFonts w:asciiTheme="minorHAnsi" w:hAnsiTheme="minorHAnsi" w:cs="Times New Roman"/>
          <w:szCs w:val="24"/>
        </w:rPr>
      </w:pPr>
      <w:r>
        <w:rPr>
          <w:rFonts w:asciiTheme="minorHAnsi" w:hAnsiTheme="minorHAnsi" w:cs="Times New Roman"/>
          <w:szCs w:val="24"/>
        </w:rPr>
        <w:t xml:space="preserve">The majority overturned the Court of Appeal’s remedy of reading in a larger exemption.  In doing so it reaffirmed the principle that the power to read in should be used sparingly.   </w:t>
      </w:r>
    </w:p>
    <w:p w14:paraId="701480E6" w14:textId="408F1637" w:rsidR="00325C3F" w:rsidRPr="000C3378" w:rsidRDefault="00325C3F" w:rsidP="00F5159D">
      <w:pPr>
        <w:pStyle w:val="ParaNoNdepar-AltN"/>
        <w:numPr>
          <w:ilvl w:val="0"/>
          <w:numId w:val="0"/>
        </w:numPr>
        <w:spacing w:line="240" w:lineRule="auto"/>
        <w:rPr>
          <w:rFonts w:asciiTheme="minorHAnsi" w:hAnsiTheme="minorHAnsi" w:cs="Times New Roman"/>
          <w:szCs w:val="24"/>
        </w:rPr>
      </w:pPr>
      <w:r>
        <w:rPr>
          <w:rFonts w:asciiTheme="minorHAnsi" w:hAnsiTheme="minorHAnsi" w:cs="Times New Roman"/>
          <w:szCs w:val="24"/>
        </w:rPr>
        <w:t>The Court was very much attuned to the practical difficulties of devising an effective exemption scheme, in particular the efficacy and workability of the broader exemption of persons “in need”. The majority found that the mother was not impoverished but like a large proportion of BC residents could not afford hearing fees for a 10 day trial.  Courts cannot be asked to twist the meaning of indigence or impoverishment out of shape.  Further more, the scheme affronted the dignity of litigants who have to come to court to explain how they are indigent and beg to have this status recognized in order to access their right to a court hearing,</w:t>
      </w:r>
      <w:r w:rsidRPr="00C454F4">
        <w:rPr>
          <w:rStyle w:val="EndnoteReference"/>
          <w:rFonts w:asciiTheme="minorHAnsi" w:hAnsiTheme="minorHAnsi" w:cs="Times New Roman"/>
          <w:szCs w:val="24"/>
        </w:rPr>
        <w:t xml:space="preserve"> </w:t>
      </w:r>
      <w:r>
        <w:rPr>
          <w:rStyle w:val="EndnoteReference"/>
          <w:rFonts w:asciiTheme="minorHAnsi" w:hAnsiTheme="minorHAnsi" w:cs="Times New Roman"/>
          <w:szCs w:val="24"/>
        </w:rPr>
        <w:endnoteReference w:id="24"/>
      </w:r>
      <w:r>
        <w:rPr>
          <w:rFonts w:asciiTheme="minorHAnsi" w:hAnsiTheme="minorHAnsi" w:cs="Times New Roman"/>
          <w:szCs w:val="24"/>
        </w:rPr>
        <w:t xml:space="preserve"> creating a further barrier to the court.  The majority also agreed with the trial judge that there was a “dubious” connection between the hearing fees and the policy goal of weeding out unmeritorious cases and encouraging shorter trials.</w:t>
      </w:r>
      <w:r>
        <w:rPr>
          <w:rStyle w:val="EndnoteReference"/>
          <w:rFonts w:asciiTheme="minorHAnsi" w:hAnsiTheme="minorHAnsi" w:cs="Times New Roman"/>
          <w:szCs w:val="24"/>
        </w:rPr>
        <w:endnoteReference w:id="25"/>
      </w:r>
      <w:r>
        <w:rPr>
          <w:rFonts w:asciiTheme="minorHAnsi" w:hAnsiTheme="minorHAnsi" w:cs="Times New Roman"/>
          <w:szCs w:val="24"/>
        </w:rPr>
        <w:t xml:space="preserve"> Judges have the tools necessary to accomplish these important goals.  </w:t>
      </w:r>
    </w:p>
    <w:p w14:paraId="46D79BE8" w14:textId="45766DE3" w:rsidR="00325C3F" w:rsidRDefault="00325C3F" w:rsidP="000C3378">
      <w:pPr>
        <w:pStyle w:val="ParaNoNdepar-AltN"/>
        <w:numPr>
          <w:ilvl w:val="0"/>
          <w:numId w:val="0"/>
        </w:numPr>
        <w:spacing w:line="240" w:lineRule="auto"/>
        <w:rPr>
          <w:rFonts w:asciiTheme="minorHAnsi" w:hAnsiTheme="minorHAnsi" w:cs="Times New Roman"/>
          <w:szCs w:val="24"/>
        </w:rPr>
      </w:pPr>
      <w:r>
        <w:rPr>
          <w:rFonts w:asciiTheme="minorHAnsi" w:hAnsiTheme="minorHAnsi" w:cs="Times New Roman"/>
          <w:szCs w:val="24"/>
        </w:rPr>
        <w:t xml:space="preserve">The reasons provide advice as to what type of hearing fees would be constitutional if the province elects to rehabilitate them.   </w:t>
      </w:r>
      <w:r>
        <w:rPr>
          <w:rFonts w:asciiTheme="minorHAnsi" w:hAnsiTheme="minorHAnsi" w:cs="Times New Roman"/>
          <w:bCs/>
          <w:szCs w:val="24"/>
          <w:lang w:val="en-CA"/>
        </w:rPr>
        <w:t xml:space="preserve">A failure to exempt impoverished people </w:t>
      </w:r>
      <w:r>
        <w:rPr>
          <w:rFonts w:asciiTheme="minorHAnsi" w:hAnsiTheme="minorHAnsi" w:cs="Times New Roman"/>
          <w:bCs/>
          <w:szCs w:val="24"/>
          <w:lang w:val="en-CA"/>
        </w:rPr>
        <w:lastRenderedPageBreak/>
        <w:t>“clearly oversteps the constitutional minimum”, but fees that require litigants who are not impoverished to “sacrifice reasonable expense in order to bring a claim” will also be unconstitutional because they effectively prevent access to the courts.</w:t>
      </w:r>
      <w:r>
        <w:rPr>
          <w:rStyle w:val="EndnoteReference"/>
          <w:rFonts w:asciiTheme="minorHAnsi" w:hAnsiTheme="minorHAnsi" w:cs="Times New Roman"/>
          <w:bCs/>
          <w:szCs w:val="24"/>
          <w:lang w:val="en-CA"/>
        </w:rPr>
        <w:endnoteReference w:id="26"/>
      </w:r>
      <w:r>
        <w:rPr>
          <w:rFonts w:asciiTheme="minorHAnsi" w:hAnsiTheme="minorHAnsi" w:cs="Times New Roman"/>
          <w:bCs/>
          <w:szCs w:val="24"/>
          <w:lang w:val="en-CA"/>
        </w:rPr>
        <w:t xml:space="preserve">  The majority cautions: “</w:t>
      </w:r>
      <w:r w:rsidRPr="007C1B24">
        <w:rPr>
          <w:rFonts w:asciiTheme="minorHAnsi" w:hAnsiTheme="minorHAnsi" w:cs="Times New Roman"/>
          <w:szCs w:val="24"/>
        </w:rPr>
        <w:t>Higher fees must be coupled with enough judicial discretion to waive hearing fees in any case where they would effectively prevent access to the courts because they require litigants to forgo reasonable expenses in order to bring claims.</w:t>
      </w:r>
      <w:r>
        <w:rPr>
          <w:rFonts w:asciiTheme="minorHAnsi" w:hAnsiTheme="minorHAnsi" w:cs="Times New Roman"/>
          <w:szCs w:val="24"/>
        </w:rPr>
        <w:t>”</w:t>
      </w:r>
      <w:r>
        <w:rPr>
          <w:rStyle w:val="EndnoteReference"/>
          <w:rFonts w:asciiTheme="minorHAnsi" w:hAnsiTheme="minorHAnsi" w:cs="Times New Roman"/>
          <w:szCs w:val="24"/>
        </w:rPr>
        <w:endnoteReference w:id="27"/>
      </w:r>
      <w:r w:rsidRPr="007C1B24">
        <w:rPr>
          <w:rFonts w:asciiTheme="minorHAnsi" w:hAnsiTheme="minorHAnsi" w:cs="Times New Roman"/>
          <w:szCs w:val="24"/>
        </w:rPr>
        <w:t xml:space="preserve"> </w:t>
      </w:r>
      <w:r>
        <w:rPr>
          <w:rFonts w:asciiTheme="minorHAnsi" w:hAnsiTheme="minorHAnsi" w:cs="Times New Roman"/>
          <w:szCs w:val="24"/>
        </w:rPr>
        <w:t xml:space="preserve">  </w:t>
      </w:r>
    </w:p>
    <w:p w14:paraId="11E4E96E" w14:textId="534B99C8" w:rsidR="00325C3F" w:rsidRDefault="00325C3F" w:rsidP="000C3378">
      <w:pPr>
        <w:pStyle w:val="ParaNoNdepar-AltN"/>
        <w:numPr>
          <w:ilvl w:val="0"/>
          <w:numId w:val="0"/>
        </w:numPr>
        <w:spacing w:line="240" w:lineRule="auto"/>
        <w:rPr>
          <w:rFonts w:asciiTheme="minorHAnsi" w:hAnsiTheme="minorHAnsi" w:cs="Times New Roman"/>
          <w:szCs w:val="24"/>
        </w:rPr>
      </w:pPr>
      <w:r>
        <w:rPr>
          <w:rFonts w:asciiTheme="minorHAnsi" w:hAnsiTheme="minorHAnsi" w:cs="Times New Roman"/>
          <w:bCs/>
          <w:szCs w:val="24"/>
          <w:lang w:val="en-CA"/>
        </w:rPr>
        <w:t>It is up to the provincial legislature to devise a constitutionally compliant scheme, if it chooses to do so.</w:t>
      </w:r>
      <w:r>
        <w:rPr>
          <w:rStyle w:val="EndnoteReference"/>
          <w:rFonts w:asciiTheme="minorHAnsi" w:hAnsiTheme="minorHAnsi" w:cs="Times New Roman"/>
          <w:bCs/>
          <w:szCs w:val="24"/>
          <w:lang w:val="en-CA"/>
        </w:rPr>
        <w:endnoteReference w:id="28"/>
      </w:r>
    </w:p>
    <w:p w14:paraId="5ED0795F" w14:textId="77777777" w:rsidR="00812DCF" w:rsidRPr="00D5060C" w:rsidRDefault="00812DCF" w:rsidP="00812DCF">
      <w:pPr>
        <w:spacing w:before="100" w:beforeAutospacing="1" w:after="100" w:afterAutospacing="1"/>
        <w:rPr>
          <w:rFonts w:cs="Times New Roman"/>
          <w:i/>
        </w:rPr>
      </w:pPr>
      <w:r>
        <w:rPr>
          <w:rFonts w:cs="Times New Roman"/>
          <w:i/>
        </w:rPr>
        <w:t>Implications</w:t>
      </w:r>
    </w:p>
    <w:p w14:paraId="54594FD2" w14:textId="1111B98D" w:rsidR="009F7B68" w:rsidRDefault="009F7B68" w:rsidP="00F418A0">
      <w:pPr>
        <w:spacing w:before="100" w:beforeAutospacing="1" w:after="100" w:afterAutospacing="1"/>
        <w:jc w:val="both"/>
        <w:rPr>
          <w:rFonts w:cs="Times New Roman"/>
        </w:rPr>
      </w:pPr>
      <w:r>
        <w:rPr>
          <w:rFonts w:cs="Times New Roman"/>
        </w:rPr>
        <w:t xml:space="preserve">The Supreme Court of Canada affirmed McEwan’s J. constitutional analysis finding that for s.96 to be meaningful, </w:t>
      </w:r>
      <w:r w:rsidR="00FD6E18" w:rsidRPr="007C1B24">
        <w:rPr>
          <w:rFonts w:cs="Times New Roman"/>
        </w:rPr>
        <w:t xml:space="preserve">it must interpreted consistently with the rule of law and access to justice.  </w:t>
      </w:r>
      <w:r>
        <w:rPr>
          <w:rFonts w:cs="Times New Roman"/>
        </w:rPr>
        <w:t xml:space="preserve">One of the broader implications of </w:t>
      </w:r>
      <w:r>
        <w:rPr>
          <w:rFonts w:cs="Times New Roman"/>
          <w:i/>
        </w:rPr>
        <w:t xml:space="preserve">TLABC and CBABC v. BC </w:t>
      </w:r>
      <w:r>
        <w:rPr>
          <w:rFonts w:cs="Times New Roman"/>
        </w:rPr>
        <w:t>is the clear affirmation that written and unwritten constitutional provisions mu</w:t>
      </w:r>
      <w:r w:rsidR="005B1945">
        <w:rPr>
          <w:rFonts w:cs="Times New Roman"/>
        </w:rPr>
        <w:t xml:space="preserve">st be made to work harmoniously including respecting the </w:t>
      </w:r>
      <w:r>
        <w:rPr>
          <w:rFonts w:cs="Times New Roman"/>
        </w:rPr>
        <w:t>assump</w:t>
      </w:r>
      <w:r w:rsidR="005B1945">
        <w:rPr>
          <w:rFonts w:cs="Times New Roman"/>
        </w:rPr>
        <w:t>tions that underlie the text.  T</w:t>
      </w:r>
      <w:r>
        <w:rPr>
          <w:rFonts w:cs="Times New Roman"/>
        </w:rPr>
        <w:t xml:space="preserve">his integrated analysis gives access to justice a principled constitutional home. </w:t>
      </w:r>
      <w:r w:rsidR="00FD6E18" w:rsidRPr="007C1B24">
        <w:rPr>
          <w:rFonts w:cs="Times New Roman"/>
        </w:rPr>
        <w:t> </w:t>
      </w:r>
      <w:r>
        <w:rPr>
          <w:rFonts w:cs="Times New Roman"/>
        </w:rPr>
        <w:t>For this</w:t>
      </w:r>
      <w:r w:rsidR="00FD6E18" w:rsidRPr="007C1B24">
        <w:rPr>
          <w:rFonts w:cs="Times New Roman"/>
        </w:rPr>
        <w:t xml:space="preserve"> reason, the case is very important for future access to justice issues</w:t>
      </w:r>
      <w:r>
        <w:rPr>
          <w:rFonts w:cs="Times New Roman"/>
        </w:rPr>
        <w:t xml:space="preserve"> beyond hearing fees</w:t>
      </w:r>
      <w:r w:rsidR="00FD6E18" w:rsidRPr="007C1B24">
        <w:rPr>
          <w:rFonts w:cs="Times New Roman"/>
        </w:rPr>
        <w:t xml:space="preserve">.  </w:t>
      </w:r>
      <w:r>
        <w:rPr>
          <w:rFonts w:cs="Times New Roman"/>
        </w:rPr>
        <w:t>Our work is cut out for us.</w:t>
      </w:r>
    </w:p>
    <w:p w14:paraId="1C1C8EA2" w14:textId="2D0FACC7" w:rsidR="00E52696" w:rsidRPr="007C1B24" w:rsidRDefault="00E52696"/>
    <w:sectPr w:rsidR="00E52696" w:rsidRPr="007C1B24" w:rsidSect="0042314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EE47A" w14:textId="77777777" w:rsidR="00130452" w:rsidRDefault="00130452" w:rsidP="00B9316E">
      <w:r>
        <w:separator/>
      </w:r>
    </w:p>
  </w:endnote>
  <w:endnote w:type="continuationSeparator" w:id="0">
    <w:p w14:paraId="676F88A1" w14:textId="77777777" w:rsidR="00130452" w:rsidRDefault="00130452" w:rsidP="00B9316E">
      <w:r>
        <w:continuationSeparator/>
      </w:r>
    </w:p>
  </w:endnote>
  <w:endnote w:id="1">
    <w:p w14:paraId="5197106F" w14:textId="1054D766" w:rsidR="00325C3F" w:rsidRPr="00FA0D29" w:rsidRDefault="00325C3F">
      <w:pPr>
        <w:pStyle w:val="EndnoteText"/>
      </w:pPr>
      <w:r>
        <w:rPr>
          <w:rStyle w:val="EndnoteReference"/>
        </w:rPr>
        <w:endnoteRef/>
      </w:r>
      <w:r>
        <w:t xml:space="preserve"> </w:t>
      </w:r>
      <w:r>
        <w:rPr>
          <w:i/>
        </w:rPr>
        <w:t xml:space="preserve">Christie v. British Columbia (Attorney General), </w:t>
      </w:r>
      <w:r w:rsidRPr="00FA0D29">
        <w:t>[2005] B.C.J. No. 217, 250 D.L.R. (4</w:t>
      </w:r>
      <w:r w:rsidRPr="00FA0D29">
        <w:rPr>
          <w:vertAlign w:val="superscript"/>
        </w:rPr>
        <w:t>th</w:t>
      </w:r>
      <w:r w:rsidRPr="00FA0D29">
        <w:t>) 728</w:t>
      </w:r>
      <w:r>
        <w:t xml:space="preserve"> (B.C.S.C.), per Koeningsberg J.; affirmed </w:t>
      </w:r>
      <w:r>
        <w:rPr>
          <w:i/>
        </w:rPr>
        <w:t xml:space="preserve">Christie v. British Columbia (Attorney General), </w:t>
      </w:r>
      <w:r w:rsidRPr="00FA0D29">
        <w:t>[2005] B.C.J.</w:t>
      </w:r>
      <w:r>
        <w:t xml:space="preserve"> No. 2745, 262 D.L.R. (4</w:t>
      </w:r>
      <w:r w:rsidRPr="00FA0D29">
        <w:rPr>
          <w:vertAlign w:val="superscript"/>
        </w:rPr>
        <w:t>th</w:t>
      </w:r>
      <w:r>
        <w:t>) 151 (B.C.C.A); reversed</w:t>
      </w:r>
      <w:r>
        <w:rPr>
          <w:i/>
        </w:rPr>
        <w:t xml:space="preserve"> British Columbia (Attorney General) v. Christie, </w:t>
      </w:r>
      <w:r>
        <w:t>[2007] 1 S.C.R. 873 (S.C.C.).</w:t>
      </w:r>
    </w:p>
  </w:endnote>
  <w:endnote w:id="2">
    <w:p w14:paraId="2472B25C" w14:textId="71001C67" w:rsidR="00325C3F" w:rsidRDefault="00325C3F">
      <w:pPr>
        <w:pStyle w:val="EndnoteText"/>
      </w:pPr>
      <w:r>
        <w:rPr>
          <w:rStyle w:val="EndnoteReference"/>
        </w:rPr>
        <w:endnoteRef/>
      </w:r>
      <w:r>
        <w:t xml:space="preserve"> </w:t>
      </w:r>
      <w:r>
        <w:rPr>
          <w:i/>
        </w:rPr>
        <w:t>Canadian Bar Assn. v. British Columbia</w:t>
      </w:r>
      <w:r>
        <w:t xml:space="preserve">, [2006] B.C.J. No. 2015, [2007] 1 W.W.R. 331, 2006 BCSC 1342 (B.C.S.C.); affirmed in part </w:t>
      </w:r>
      <w:r>
        <w:rPr>
          <w:i/>
        </w:rPr>
        <w:t xml:space="preserve">Canadian Bar Assn. v. British Columbia, </w:t>
      </w:r>
      <w:r>
        <w:t>[2008] B.C.J. No. 350, 290 D.L.R. (4</w:t>
      </w:r>
      <w:r w:rsidRPr="00D77D57">
        <w:rPr>
          <w:vertAlign w:val="superscript"/>
        </w:rPr>
        <w:t>th</w:t>
      </w:r>
      <w:r>
        <w:t xml:space="preserve">) 617, 2008 BCCA 92 (B.C.C.A.); leave to S.C.C. denied [2008] S.C.C.A. No. 185. </w:t>
      </w:r>
    </w:p>
  </w:endnote>
  <w:endnote w:id="3">
    <w:p w14:paraId="3626F7FB" w14:textId="7347AFCA" w:rsidR="00325C3F" w:rsidRDefault="00325C3F">
      <w:pPr>
        <w:pStyle w:val="EndnoteText"/>
      </w:pPr>
      <w:r>
        <w:rPr>
          <w:rStyle w:val="EndnoteReference"/>
        </w:rPr>
        <w:endnoteRef/>
      </w:r>
      <w:r>
        <w:t xml:space="preserve"> Other organizations have also been engaged in this work notably BCPIAC and Westcoast LEAF. See discussion in Melina Buckley, “Searching for the Constitutional Core of Access to Justice” (2008), 42 S.C.L.R. (2d.) 567.</w:t>
      </w:r>
    </w:p>
  </w:endnote>
  <w:endnote w:id="4">
    <w:p w14:paraId="051F1A7D" w14:textId="783B8D83" w:rsidR="00325C3F" w:rsidRDefault="00325C3F">
      <w:pPr>
        <w:pStyle w:val="EndnoteText"/>
      </w:pPr>
      <w:r>
        <w:rPr>
          <w:rStyle w:val="EndnoteReference"/>
        </w:rPr>
        <w:endnoteRef/>
      </w:r>
      <w:r>
        <w:t xml:space="preserve"> </w:t>
      </w:r>
      <w:r>
        <w:rPr>
          <w:i/>
        </w:rPr>
        <w:t xml:space="preserve">Vilardell v. Dunham, </w:t>
      </w:r>
      <w:r>
        <w:rPr>
          <w:rFonts w:cs="Times New Roman"/>
        </w:rPr>
        <w:t>2009 BCSC 434.</w:t>
      </w:r>
    </w:p>
  </w:endnote>
  <w:endnote w:id="5">
    <w:p w14:paraId="05D4E417" w14:textId="1F4EAB84" w:rsidR="00325C3F" w:rsidRDefault="00325C3F">
      <w:pPr>
        <w:pStyle w:val="EndnoteText"/>
      </w:pPr>
      <w:r>
        <w:rPr>
          <w:rStyle w:val="EndnoteReference"/>
        </w:rPr>
        <w:endnoteRef/>
      </w:r>
      <w:r>
        <w:t xml:space="preserve"> At the time this case began these were set out in </w:t>
      </w:r>
      <w:r w:rsidRPr="007C1B24">
        <w:rPr>
          <w:rFonts w:cs="Times New Roman"/>
        </w:rPr>
        <w:t>B.C. Reg. 221/90, as amended by B.C. Reg. 10/96 and B.C. Reg. 75/98</w:t>
      </w:r>
      <w:r>
        <w:rPr>
          <w:rFonts w:cs="Times New Roman"/>
        </w:rPr>
        <w:t xml:space="preserve">. </w:t>
      </w:r>
      <w:r w:rsidRPr="007C1B24">
        <w:rPr>
          <w:rFonts w:cs="Times New Roman"/>
        </w:rPr>
        <w:t xml:space="preserve">In 2010, the </w:t>
      </w:r>
      <w:r w:rsidRPr="007C1B24">
        <w:rPr>
          <w:rFonts w:cs="Times New Roman"/>
          <w:i/>
        </w:rPr>
        <w:t>Supreme Court Rules</w:t>
      </w:r>
      <w:r w:rsidRPr="007C1B24">
        <w:rPr>
          <w:rFonts w:cs="Times New Roman"/>
        </w:rPr>
        <w:t xml:space="preserve"> were replaced by the </w:t>
      </w:r>
      <w:r w:rsidRPr="007C1B24">
        <w:rPr>
          <w:rFonts w:cs="Times New Roman"/>
          <w:i/>
        </w:rPr>
        <w:t>Supreme Court Civil Rules</w:t>
      </w:r>
      <w:r w:rsidRPr="007C1B24">
        <w:rPr>
          <w:rFonts w:cs="Times New Roman"/>
        </w:rPr>
        <w:t>, B.C. Reg. 168/2009.</w:t>
      </w:r>
    </w:p>
  </w:endnote>
  <w:endnote w:id="6">
    <w:p w14:paraId="55D42762" w14:textId="23855C5F" w:rsidR="00325C3F" w:rsidRDefault="00325C3F">
      <w:pPr>
        <w:pStyle w:val="EndnoteText"/>
      </w:pPr>
      <w:r>
        <w:rPr>
          <w:rStyle w:val="EndnoteReference"/>
        </w:rPr>
        <w:endnoteRef/>
      </w:r>
      <w:r>
        <w:t xml:space="preserve"> At para. 63.</w:t>
      </w:r>
    </w:p>
  </w:endnote>
  <w:endnote w:id="7">
    <w:p w14:paraId="57E0DD58" w14:textId="1F1B1E45" w:rsidR="00325C3F" w:rsidRDefault="00325C3F">
      <w:pPr>
        <w:pStyle w:val="EndnoteText"/>
      </w:pPr>
      <w:r>
        <w:rPr>
          <w:rStyle w:val="EndnoteReference"/>
        </w:rPr>
        <w:endnoteRef/>
      </w:r>
      <w:r>
        <w:t xml:space="preserve"> </w:t>
      </w:r>
      <w:r w:rsidRPr="007C1B24">
        <w:rPr>
          <w:rFonts w:cs="Times New Roman"/>
        </w:rPr>
        <w:t xml:space="preserve">Rule 20-5(1) of the </w:t>
      </w:r>
      <w:r w:rsidRPr="007C1B24">
        <w:rPr>
          <w:rFonts w:cs="Times New Roman"/>
          <w:i/>
        </w:rPr>
        <w:t>Supreme Court Civil Rules</w:t>
      </w:r>
      <w:r>
        <w:rPr>
          <w:rFonts w:cs="Times New Roman"/>
          <w:i/>
        </w:rPr>
        <w:t>.</w:t>
      </w:r>
    </w:p>
  </w:endnote>
  <w:endnote w:id="8">
    <w:p w14:paraId="34A853C2" w14:textId="4E35644E" w:rsidR="00325C3F" w:rsidRDefault="00325C3F" w:rsidP="00405B3F">
      <w:pPr>
        <w:pStyle w:val="EndnoteText"/>
      </w:pPr>
      <w:r>
        <w:rPr>
          <w:rStyle w:val="EndnoteReference"/>
        </w:rPr>
        <w:endnoteRef/>
      </w:r>
      <w:r>
        <w:t xml:space="preserve"> </w:t>
      </w:r>
      <w:r>
        <w:rPr>
          <w:i/>
        </w:rPr>
        <w:t xml:space="preserve">Vilardell v. Dunham, </w:t>
      </w:r>
      <w:r w:rsidRPr="007C1B24">
        <w:rPr>
          <w:rFonts w:cs="Times New Roman"/>
        </w:rPr>
        <w:t>2012 BCSC 748</w:t>
      </w:r>
      <w:r>
        <w:rPr>
          <w:rFonts w:cs="Times New Roman"/>
        </w:rPr>
        <w:t>, at para. 396</w:t>
      </w:r>
      <w:r w:rsidRPr="007C1B24">
        <w:rPr>
          <w:rFonts w:cs="Times New Roman"/>
        </w:rPr>
        <w:t>.</w:t>
      </w:r>
    </w:p>
  </w:endnote>
  <w:endnote w:id="9">
    <w:p w14:paraId="30AF539E" w14:textId="2EDEA8A3" w:rsidR="00325C3F" w:rsidRDefault="00325C3F">
      <w:pPr>
        <w:pStyle w:val="EndnoteText"/>
      </w:pPr>
      <w:r>
        <w:rPr>
          <w:rStyle w:val="EndnoteReference"/>
        </w:rPr>
        <w:endnoteRef/>
      </w:r>
      <w:r w:rsidRPr="00CE04A1">
        <w:rPr>
          <w:rFonts w:cs="Times New Roman"/>
          <w:i/>
        </w:rPr>
        <w:t>Pleau v. Nova Scotia (Prothonotary</w:t>
      </w:r>
      <w:r w:rsidRPr="007C1B24">
        <w:rPr>
          <w:rFonts w:cs="Times New Roman"/>
        </w:rPr>
        <w:t xml:space="preserve"> (</w:t>
      </w:r>
      <w:r>
        <w:rPr>
          <w:rFonts w:cs="Times New Roman"/>
        </w:rPr>
        <w:t>1998), 186 N.S.R. (2d) 1 (S.C.).</w:t>
      </w:r>
    </w:p>
  </w:endnote>
  <w:endnote w:id="10">
    <w:p w14:paraId="5A99B6A8" w14:textId="2848C0C2" w:rsidR="00325C3F" w:rsidRDefault="00325C3F">
      <w:pPr>
        <w:pStyle w:val="EndnoteText"/>
      </w:pPr>
      <w:r>
        <w:rPr>
          <w:rStyle w:val="EndnoteReference"/>
        </w:rPr>
        <w:endnoteRef/>
      </w:r>
      <w:r>
        <w:t xml:space="preserve"> Jamie MacLaren represented Ms. Vilardell before Mr. Justice McEwan . Robert Parsons served as co-counsel before the Court of Appeal.</w:t>
      </w:r>
    </w:p>
  </w:endnote>
  <w:endnote w:id="11">
    <w:p w14:paraId="2788DC7C" w14:textId="7155DC39" w:rsidR="00325C3F" w:rsidRDefault="00325C3F">
      <w:pPr>
        <w:pStyle w:val="EndnoteText"/>
      </w:pPr>
      <w:r>
        <w:rPr>
          <w:rStyle w:val="EndnoteReference"/>
        </w:rPr>
        <w:endnoteRef/>
      </w:r>
      <w:r>
        <w:t xml:space="preserve"> </w:t>
      </w:r>
      <w:r>
        <w:rPr>
          <w:i/>
        </w:rPr>
        <w:t xml:space="preserve">Vilardell v. Dunham, </w:t>
      </w:r>
      <w:r w:rsidRPr="007C1B24">
        <w:rPr>
          <w:rFonts w:cs="Times New Roman"/>
        </w:rPr>
        <w:t xml:space="preserve">2013 </w:t>
      </w:r>
      <w:r>
        <w:rPr>
          <w:rFonts w:cs="Times New Roman"/>
        </w:rPr>
        <w:t>BCCA 65.</w:t>
      </w:r>
    </w:p>
  </w:endnote>
  <w:endnote w:id="12">
    <w:p w14:paraId="22DF68D2" w14:textId="572FC101" w:rsidR="00325C3F" w:rsidRPr="00EA1AC1" w:rsidRDefault="00325C3F" w:rsidP="00865D9A">
      <w:r>
        <w:rPr>
          <w:rStyle w:val="EndnoteReference"/>
        </w:rPr>
        <w:endnoteRef/>
      </w:r>
      <w:r>
        <w:t xml:space="preserve"> McLachlin C.J. (</w:t>
      </w:r>
      <w:r w:rsidRPr="00EA1AC1">
        <w:t>LeBel, Abella, Moldaver and Karakatsanis JJ. concurring)</w:t>
      </w:r>
      <w:r>
        <w:t>;</w:t>
      </w:r>
    </w:p>
    <w:p w14:paraId="6AC0C3C5" w14:textId="46963B86" w:rsidR="00325C3F" w:rsidRDefault="00325C3F">
      <w:pPr>
        <w:pStyle w:val="EndnoteText"/>
      </w:pPr>
      <w:r>
        <w:t>Cromwell J. concurred in the result but based his decision on administrative law grounds and the common law right of reasonable access to justice. Rothstein J. dissented.</w:t>
      </w:r>
    </w:p>
  </w:endnote>
  <w:endnote w:id="13">
    <w:p w14:paraId="36CB4A5E" w14:textId="28B3760D" w:rsidR="00325C3F" w:rsidRDefault="00325C3F">
      <w:pPr>
        <w:pStyle w:val="EndnoteText"/>
      </w:pPr>
      <w:r>
        <w:rPr>
          <w:rStyle w:val="EndnoteReference"/>
        </w:rPr>
        <w:endnoteRef/>
      </w:r>
      <w:r>
        <w:t xml:space="preserve"> At para. 17.</w:t>
      </w:r>
    </w:p>
  </w:endnote>
  <w:endnote w:id="14">
    <w:p w14:paraId="5B3DC26E" w14:textId="0D3CBECE" w:rsidR="00325C3F" w:rsidRDefault="00325C3F">
      <w:pPr>
        <w:pStyle w:val="EndnoteText"/>
      </w:pPr>
      <w:r>
        <w:rPr>
          <w:rStyle w:val="EndnoteReference"/>
        </w:rPr>
        <w:endnoteRef/>
      </w:r>
      <w:r>
        <w:t xml:space="preserve"> At para. 2.</w:t>
      </w:r>
    </w:p>
  </w:endnote>
  <w:endnote w:id="15">
    <w:p w14:paraId="79917345" w14:textId="07C49536" w:rsidR="00325C3F" w:rsidRDefault="00325C3F">
      <w:pPr>
        <w:pStyle w:val="EndnoteText"/>
      </w:pPr>
      <w:r>
        <w:rPr>
          <w:rStyle w:val="EndnoteReference"/>
        </w:rPr>
        <w:endnoteRef/>
      </w:r>
      <w:r>
        <w:t xml:space="preserve"> At para. 25.</w:t>
      </w:r>
    </w:p>
  </w:endnote>
  <w:endnote w:id="16">
    <w:p w14:paraId="5ED40AF6" w14:textId="1B9CECD8" w:rsidR="00325C3F" w:rsidRDefault="00325C3F">
      <w:pPr>
        <w:pStyle w:val="EndnoteText"/>
      </w:pPr>
      <w:r>
        <w:rPr>
          <w:rStyle w:val="EndnoteReference"/>
        </w:rPr>
        <w:endnoteRef/>
      </w:r>
      <w:r>
        <w:t xml:space="preserve"> At paras. 26 and 37.</w:t>
      </w:r>
    </w:p>
  </w:endnote>
  <w:endnote w:id="17">
    <w:p w14:paraId="14A9C952" w14:textId="6E36E518" w:rsidR="00325C3F" w:rsidRDefault="00325C3F" w:rsidP="006320BD">
      <w:pPr>
        <w:pStyle w:val="EndnoteText"/>
      </w:pPr>
      <w:r>
        <w:rPr>
          <w:rStyle w:val="EndnoteReference"/>
        </w:rPr>
        <w:endnoteRef/>
      </w:r>
      <w:r>
        <w:t xml:space="preserve"> At paras. 88-90.</w:t>
      </w:r>
    </w:p>
  </w:endnote>
  <w:endnote w:id="18">
    <w:p w14:paraId="7CA3CDE6" w14:textId="11FB623B" w:rsidR="00325C3F" w:rsidRDefault="00325C3F">
      <w:pPr>
        <w:pStyle w:val="EndnoteText"/>
      </w:pPr>
      <w:r>
        <w:rPr>
          <w:rStyle w:val="EndnoteReference"/>
        </w:rPr>
        <w:endnoteRef/>
      </w:r>
      <w:r>
        <w:t xml:space="preserve"> At para. 32.</w:t>
      </w:r>
    </w:p>
  </w:endnote>
  <w:endnote w:id="19">
    <w:p w14:paraId="425CCABE" w14:textId="2EB3FE0C" w:rsidR="00325C3F" w:rsidRDefault="00325C3F">
      <w:pPr>
        <w:pStyle w:val="EndnoteText"/>
      </w:pPr>
      <w:r>
        <w:rPr>
          <w:rStyle w:val="EndnoteReference"/>
        </w:rPr>
        <w:endnoteRef/>
      </w:r>
      <w:r>
        <w:t xml:space="preserve"> </w:t>
      </w:r>
      <w:r w:rsidRPr="007C1B24">
        <w:rPr>
          <w:rFonts w:cs="Times New Roman"/>
          <w:i/>
        </w:rPr>
        <w:t>B.C.G.E.U. v. British Columbia (Attorney General)</w:t>
      </w:r>
      <w:r>
        <w:rPr>
          <w:rFonts w:cs="Times New Roman"/>
        </w:rPr>
        <w:t>, [1988] 2 S.C.R. 214, at p. 230.</w:t>
      </w:r>
    </w:p>
  </w:endnote>
  <w:endnote w:id="20">
    <w:p w14:paraId="49B115DF" w14:textId="7B0EB2F1" w:rsidR="00325C3F" w:rsidRDefault="00325C3F">
      <w:pPr>
        <w:pStyle w:val="EndnoteText"/>
      </w:pPr>
      <w:r>
        <w:rPr>
          <w:rStyle w:val="EndnoteReference"/>
        </w:rPr>
        <w:endnoteRef/>
      </w:r>
      <w:r>
        <w:t xml:space="preserve"> </w:t>
      </w:r>
      <w:r w:rsidRPr="00130452">
        <w:rPr>
          <w:i/>
        </w:rPr>
        <w:t>Hryniak v. Mauldin</w:t>
      </w:r>
      <w:r w:rsidRPr="003633AA">
        <w:t xml:space="preserve">, 2014 SCC 7, [2014] 1 S.C.R. 87, per Karakatsanis J., “without an accessible public forum for the adjudication of disputes, the rule of law is threatened and the development of the common law undermined” (para. 26).  </w:t>
      </w:r>
    </w:p>
  </w:endnote>
  <w:endnote w:id="21">
    <w:p w14:paraId="5CEF8BA7" w14:textId="3899E0F7" w:rsidR="00325C3F" w:rsidRPr="0098788C" w:rsidRDefault="00325C3F">
      <w:pPr>
        <w:pStyle w:val="EndnoteText"/>
      </w:pPr>
      <w:r>
        <w:rPr>
          <w:rStyle w:val="EndnoteReference"/>
        </w:rPr>
        <w:endnoteRef/>
      </w:r>
      <w:r>
        <w:t xml:space="preserve"> The majority referred to the BCCA majority reasons in </w:t>
      </w:r>
      <w:r>
        <w:rPr>
          <w:i/>
        </w:rPr>
        <w:t xml:space="preserve">Christie </w:t>
      </w:r>
      <w:r>
        <w:t>[</w:t>
      </w:r>
      <w:r w:rsidRPr="007D5093">
        <w:t>2005 BCCA 631</w:t>
      </w:r>
      <w:r>
        <w:t xml:space="preserve"> per Newbury JA] with approval at para. 40. </w:t>
      </w:r>
    </w:p>
  </w:endnote>
  <w:endnote w:id="22">
    <w:p w14:paraId="0872A69C" w14:textId="5225D1A5" w:rsidR="00325C3F" w:rsidRDefault="00325C3F">
      <w:pPr>
        <w:pStyle w:val="EndnoteText"/>
      </w:pPr>
      <w:r>
        <w:rPr>
          <w:rStyle w:val="EndnoteReference"/>
        </w:rPr>
        <w:endnoteRef/>
      </w:r>
      <w:r>
        <w:t xml:space="preserve"> At para. 41.</w:t>
      </w:r>
    </w:p>
  </w:endnote>
  <w:endnote w:id="23">
    <w:p w14:paraId="27EDB334" w14:textId="77777777" w:rsidR="00325C3F" w:rsidRDefault="00325C3F" w:rsidP="000C3378">
      <w:pPr>
        <w:pStyle w:val="EndnoteText"/>
      </w:pPr>
      <w:r>
        <w:rPr>
          <w:rStyle w:val="EndnoteReference"/>
        </w:rPr>
        <w:endnoteRef/>
      </w:r>
      <w:r>
        <w:t xml:space="preserve"> At para. 45.</w:t>
      </w:r>
    </w:p>
  </w:endnote>
  <w:endnote w:id="24">
    <w:p w14:paraId="396F535A" w14:textId="77777777" w:rsidR="00325C3F" w:rsidRDefault="00325C3F" w:rsidP="00C454F4">
      <w:pPr>
        <w:pStyle w:val="EndnoteText"/>
      </w:pPr>
      <w:r>
        <w:rPr>
          <w:rStyle w:val="EndnoteReference"/>
        </w:rPr>
        <w:endnoteRef/>
      </w:r>
      <w:r>
        <w:t xml:space="preserve"> At para. 60.</w:t>
      </w:r>
    </w:p>
  </w:endnote>
  <w:endnote w:id="25">
    <w:p w14:paraId="061FD8B5" w14:textId="77777777" w:rsidR="00325C3F" w:rsidRDefault="00325C3F" w:rsidP="00F5159D">
      <w:pPr>
        <w:pStyle w:val="EndnoteText"/>
      </w:pPr>
      <w:r>
        <w:rPr>
          <w:rStyle w:val="EndnoteReference"/>
        </w:rPr>
        <w:endnoteRef/>
      </w:r>
      <w:r>
        <w:t xml:space="preserve"> At paras. 61-63.</w:t>
      </w:r>
    </w:p>
  </w:endnote>
  <w:endnote w:id="26">
    <w:p w14:paraId="78CE0E20" w14:textId="77777777" w:rsidR="00325C3F" w:rsidRDefault="00325C3F" w:rsidP="000C3378">
      <w:pPr>
        <w:pStyle w:val="EndnoteText"/>
      </w:pPr>
      <w:r>
        <w:rPr>
          <w:rStyle w:val="EndnoteReference"/>
        </w:rPr>
        <w:endnoteRef/>
      </w:r>
      <w:r>
        <w:t xml:space="preserve"> At para. 46.</w:t>
      </w:r>
    </w:p>
  </w:endnote>
  <w:endnote w:id="27">
    <w:p w14:paraId="00EFD340" w14:textId="4C54234E" w:rsidR="00325C3F" w:rsidRDefault="00325C3F" w:rsidP="000C3378">
      <w:pPr>
        <w:pStyle w:val="EndnoteText"/>
      </w:pPr>
      <w:r>
        <w:rPr>
          <w:rStyle w:val="EndnoteReference"/>
        </w:rPr>
        <w:endnoteRef/>
      </w:r>
      <w:r>
        <w:t xml:space="preserve"> At para. 48</w:t>
      </w:r>
    </w:p>
  </w:endnote>
  <w:endnote w:id="28">
    <w:p w14:paraId="2ECD6EB6" w14:textId="77777777" w:rsidR="00325C3F" w:rsidRDefault="00325C3F" w:rsidP="00C454F4">
      <w:pPr>
        <w:pStyle w:val="EndnoteText"/>
      </w:pPr>
      <w:r>
        <w:rPr>
          <w:rStyle w:val="EndnoteReference"/>
        </w:rPr>
        <w:endnoteRef/>
      </w:r>
      <w:r>
        <w:t xml:space="preserve"> At para. 48.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C7AE3" w14:textId="77777777" w:rsidR="00130452" w:rsidRDefault="00130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C1A79" w14:textId="24BD7820" w:rsidR="00130452" w:rsidRPr="00B11D01" w:rsidRDefault="000E1BDA">
    <w:pPr>
      <w:pStyle w:val="Footer"/>
    </w:pPr>
    <w:r w:rsidRPr="000E1BDA">
      <w:rPr>
        <w:noProof/>
        <w:sz w:val="16"/>
      </w:rPr>
      <w:t>{09009-003/00440105.1}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08630" w14:textId="77777777" w:rsidR="00130452" w:rsidRDefault="00130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12711" w14:textId="77777777" w:rsidR="00130452" w:rsidRDefault="00130452" w:rsidP="00B9316E">
      <w:pPr>
        <w:rPr>
          <w:noProof/>
        </w:rPr>
      </w:pPr>
      <w:r>
        <w:rPr>
          <w:noProof/>
        </w:rPr>
        <w:separator/>
      </w:r>
    </w:p>
  </w:footnote>
  <w:footnote w:type="continuationSeparator" w:id="0">
    <w:p w14:paraId="1094FF43" w14:textId="77777777" w:rsidR="00130452" w:rsidRDefault="00130452" w:rsidP="00B93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585E3" w14:textId="77777777" w:rsidR="00130452" w:rsidRDefault="001304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57C10" w14:textId="77777777" w:rsidR="00130452" w:rsidRDefault="001304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52207" w14:textId="77777777" w:rsidR="00130452" w:rsidRDefault="00130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3130A"/>
    <w:multiLevelType w:val="multilevel"/>
    <w:tmpl w:val="FF364F78"/>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
    <w:nsid w:val="54283EE8"/>
    <w:multiLevelType w:val="multilevel"/>
    <w:tmpl w:val="371C7CFC"/>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F085F7C"/>
    <w:multiLevelType w:val="hybridMultilevel"/>
    <w:tmpl w:val="6CCC7182"/>
    <w:lvl w:ilvl="0" w:tplc="E6444E2C">
      <w:start w:val="1"/>
      <w:numFmt w:val="lowerLetter"/>
      <w:lvlText w:val="(%1)"/>
      <w:lvlJc w:val="left"/>
      <w:pPr>
        <w:ind w:left="2880" w:hanging="360"/>
      </w:pPr>
      <w:rPr>
        <w:rFonts w:hint="default"/>
        <w:b w:val="0"/>
        <w:strike w:val="0"/>
        <w:color w:val="auto"/>
      </w:r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18"/>
    <w:rsid w:val="00026D07"/>
    <w:rsid w:val="00040B2D"/>
    <w:rsid w:val="000437A5"/>
    <w:rsid w:val="00060DA1"/>
    <w:rsid w:val="0009350B"/>
    <w:rsid w:val="000C3378"/>
    <w:rsid w:val="000C3EF1"/>
    <w:rsid w:val="000E1BDA"/>
    <w:rsid w:val="0010547E"/>
    <w:rsid w:val="00130452"/>
    <w:rsid w:val="001563C6"/>
    <w:rsid w:val="00172A4A"/>
    <w:rsid w:val="001B5F22"/>
    <w:rsid w:val="00240B85"/>
    <w:rsid w:val="00271335"/>
    <w:rsid w:val="00280093"/>
    <w:rsid w:val="002B6FF1"/>
    <w:rsid w:val="002F18E6"/>
    <w:rsid w:val="002F7EA1"/>
    <w:rsid w:val="003162EF"/>
    <w:rsid w:val="00325C3F"/>
    <w:rsid w:val="00354F73"/>
    <w:rsid w:val="003633AA"/>
    <w:rsid w:val="00370AFB"/>
    <w:rsid w:val="003772F1"/>
    <w:rsid w:val="003C3E5A"/>
    <w:rsid w:val="0040110F"/>
    <w:rsid w:val="00405B3F"/>
    <w:rsid w:val="0042314E"/>
    <w:rsid w:val="004A2C18"/>
    <w:rsid w:val="005B1945"/>
    <w:rsid w:val="005B7472"/>
    <w:rsid w:val="005C50E2"/>
    <w:rsid w:val="006022A2"/>
    <w:rsid w:val="006320BD"/>
    <w:rsid w:val="00660EA5"/>
    <w:rsid w:val="006B2A02"/>
    <w:rsid w:val="00703C69"/>
    <w:rsid w:val="0071346E"/>
    <w:rsid w:val="00732399"/>
    <w:rsid w:val="0074210E"/>
    <w:rsid w:val="007458FC"/>
    <w:rsid w:val="007A40F5"/>
    <w:rsid w:val="007C1B24"/>
    <w:rsid w:val="00812DCF"/>
    <w:rsid w:val="008139F5"/>
    <w:rsid w:val="008178BD"/>
    <w:rsid w:val="00864D58"/>
    <w:rsid w:val="00865D9A"/>
    <w:rsid w:val="008B7D56"/>
    <w:rsid w:val="0098788C"/>
    <w:rsid w:val="009F7B68"/>
    <w:rsid w:val="00B03FD3"/>
    <w:rsid w:val="00B11D01"/>
    <w:rsid w:val="00B9316E"/>
    <w:rsid w:val="00B94CCB"/>
    <w:rsid w:val="00BB0F98"/>
    <w:rsid w:val="00C23EAA"/>
    <w:rsid w:val="00C454F4"/>
    <w:rsid w:val="00C53D02"/>
    <w:rsid w:val="00C56DFB"/>
    <w:rsid w:val="00C87A0B"/>
    <w:rsid w:val="00CA55E3"/>
    <w:rsid w:val="00CE04A1"/>
    <w:rsid w:val="00CF3CFF"/>
    <w:rsid w:val="00D23FA9"/>
    <w:rsid w:val="00D43A14"/>
    <w:rsid w:val="00D5060C"/>
    <w:rsid w:val="00D55568"/>
    <w:rsid w:val="00D73E8D"/>
    <w:rsid w:val="00D77D57"/>
    <w:rsid w:val="00DC7224"/>
    <w:rsid w:val="00DF0BCD"/>
    <w:rsid w:val="00E045EC"/>
    <w:rsid w:val="00E10301"/>
    <w:rsid w:val="00E234F4"/>
    <w:rsid w:val="00E27599"/>
    <w:rsid w:val="00E52696"/>
    <w:rsid w:val="00E714B8"/>
    <w:rsid w:val="00E732B0"/>
    <w:rsid w:val="00EB516E"/>
    <w:rsid w:val="00EF3548"/>
    <w:rsid w:val="00F418A0"/>
    <w:rsid w:val="00F5159D"/>
    <w:rsid w:val="00F568DB"/>
    <w:rsid w:val="00F725BC"/>
    <w:rsid w:val="00F80A1D"/>
    <w:rsid w:val="00F836CC"/>
    <w:rsid w:val="00FA0D29"/>
    <w:rsid w:val="00FA614F"/>
    <w:rsid w:val="00FD6E18"/>
    <w:rsid w:val="00FF5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07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rsid w:val="005B7472"/>
    <w:pPr>
      <w:keepNext/>
      <w:keepLines/>
      <w:spacing w:before="200"/>
      <w:outlineLvl w:val="1"/>
    </w:pPr>
    <w:rPr>
      <w:rFonts w:asciiTheme="majorHAnsi" w:eastAsiaTheme="majorEastAsia" w:hAnsiTheme="majorHAnsi" w:cstheme="majorBidi"/>
      <w:b/>
      <w:bCs/>
      <w:color w:val="4F81BD" w:themeColor="accent1"/>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Ndepar-AltN">
    <w:name w:val="Para. No. / Nº de par. - Alt N"/>
    <w:qFormat/>
    <w:rsid w:val="00BB0F98"/>
    <w:pPr>
      <w:numPr>
        <w:numId w:val="1"/>
      </w:numPr>
      <w:spacing w:before="480" w:after="480" w:line="480" w:lineRule="auto"/>
      <w:jc w:val="both"/>
    </w:pPr>
    <w:rPr>
      <w:rFonts w:ascii="Times New Roman" w:hAnsi="Times New Roman"/>
      <w:szCs w:val="22"/>
    </w:rPr>
  </w:style>
  <w:style w:type="paragraph" w:customStyle="1" w:styleId="Citation-AltC">
    <w:name w:val="Citation - Alt C"/>
    <w:uiPriority w:val="2"/>
    <w:qFormat/>
    <w:rsid w:val="00BB0F98"/>
    <w:pPr>
      <w:spacing w:after="720"/>
      <w:ind w:left="1166"/>
      <w:contextualSpacing/>
      <w:jc w:val="both"/>
    </w:pPr>
    <w:rPr>
      <w:rFonts w:ascii="Times New Roman" w:eastAsia="Times New Roman" w:hAnsi="Times New Roman" w:cs="Times New Roman"/>
      <w:lang w:val="en-CA" w:eastAsia="en-CA"/>
    </w:rPr>
  </w:style>
  <w:style w:type="paragraph" w:customStyle="1" w:styleId="Title1LevelTitre1Niveau-AltL">
    <w:name w:val="Title 1 Level / Titre 1 Niveau - Alt L"/>
    <w:next w:val="ParaNoNdepar-AltN"/>
    <w:uiPriority w:val="4"/>
    <w:qFormat/>
    <w:rsid w:val="00BB0F98"/>
    <w:pPr>
      <w:numPr>
        <w:numId w:val="2"/>
      </w:numPr>
      <w:tabs>
        <w:tab w:val="left" w:pos="576"/>
      </w:tabs>
      <w:spacing w:before="480" w:after="720"/>
      <w:ind w:left="432"/>
    </w:pPr>
    <w:rPr>
      <w:rFonts w:ascii="Times New Roman" w:eastAsiaTheme="minorHAnsi" w:hAnsi="Times New Roman"/>
      <w:szCs w:val="22"/>
      <w:u w:val="single"/>
      <w:lang w:val="en-CA"/>
    </w:rPr>
  </w:style>
  <w:style w:type="paragraph" w:customStyle="1" w:styleId="Title2LevelTitre2Niveau">
    <w:name w:val="Title 2 Level / Titre 2 Niveau"/>
    <w:basedOn w:val="Title1LevelTitre1Niveau-AltL"/>
    <w:next w:val="ParaNoNdepar-AltN"/>
    <w:uiPriority w:val="4"/>
    <w:qFormat/>
    <w:rsid w:val="00BB0F98"/>
    <w:pPr>
      <w:numPr>
        <w:ilvl w:val="1"/>
      </w:numPr>
      <w:tabs>
        <w:tab w:val="clear" w:pos="432"/>
        <w:tab w:val="num" w:pos="5616"/>
      </w:tabs>
      <w:ind w:left="576" w:hanging="576"/>
    </w:pPr>
    <w:rPr>
      <w:i/>
      <w:u w:val="none"/>
    </w:rPr>
  </w:style>
  <w:style w:type="paragraph" w:customStyle="1" w:styleId="Title3LevelTitre3Niveau">
    <w:name w:val="Title 3 Level / Titre 3 Niveau"/>
    <w:basedOn w:val="Title1LevelTitre1Niveau-AltL"/>
    <w:next w:val="ParaNoNdepar-AltN"/>
    <w:uiPriority w:val="4"/>
    <w:qFormat/>
    <w:rsid w:val="00BB0F98"/>
    <w:pPr>
      <w:numPr>
        <w:ilvl w:val="2"/>
      </w:numPr>
      <w:tabs>
        <w:tab w:val="clear" w:pos="576"/>
        <w:tab w:val="clear" w:pos="1152"/>
        <w:tab w:val="num" w:pos="1080"/>
        <w:tab w:val="num" w:pos="6048"/>
      </w:tabs>
      <w:ind w:left="1080" w:hanging="540"/>
    </w:pPr>
  </w:style>
  <w:style w:type="paragraph" w:customStyle="1" w:styleId="Title4LevelTitre4Niveau">
    <w:name w:val="Title 4 Level / Titre 4 Niveau"/>
    <w:basedOn w:val="Title3LevelTitre3Niveau"/>
    <w:next w:val="ParaNoNdepar-AltN"/>
    <w:uiPriority w:val="4"/>
    <w:qFormat/>
    <w:rsid w:val="00BB0F98"/>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BB0F98"/>
    <w:pPr>
      <w:numPr>
        <w:ilvl w:val="4"/>
      </w:numPr>
      <w:tabs>
        <w:tab w:val="clear" w:pos="576"/>
        <w:tab w:val="left" w:pos="1620"/>
      </w:tabs>
      <w:ind w:left="1620" w:hanging="540"/>
    </w:pPr>
  </w:style>
  <w:style w:type="character" w:customStyle="1" w:styleId="Heading2Char">
    <w:name w:val="Heading 2 Char"/>
    <w:basedOn w:val="DefaultParagraphFont"/>
    <w:link w:val="Heading2"/>
    <w:uiPriority w:val="9"/>
    <w:semiHidden/>
    <w:rsid w:val="005B7472"/>
    <w:rPr>
      <w:rFonts w:asciiTheme="majorHAnsi" w:eastAsiaTheme="majorEastAsia" w:hAnsiTheme="majorHAnsi" w:cstheme="majorBidi"/>
      <w:b/>
      <w:bCs/>
      <w:color w:val="4F81BD" w:themeColor="accent1"/>
      <w:sz w:val="26"/>
      <w:szCs w:val="26"/>
      <w:lang w:val="en-CA" w:eastAsia="en-CA"/>
    </w:rPr>
  </w:style>
  <w:style w:type="paragraph" w:customStyle="1" w:styleId="ContinueParaSuitedupar-AltP">
    <w:name w:val="Continue Para. / Suite du par. - Alt P"/>
    <w:next w:val="Normal"/>
    <w:uiPriority w:val="1"/>
    <w:qFormat/>
    <w:rsid w:val="005B7472"/>
    <w:pPr>
      <w:spacing w:before="480" w:after="480" w:line="480" w:lineRule="auto"/>
      <w:jc w:val="both"/>
    </w:pPr>
    <w:rPr>
      <w:rFonts w:ascii="Times New Roman" w:eastAsiaTheme="minorHAnsi" w:hAnsi="Times New Roman"/>
      <w:szCs w:val="22"/>
      <w:lang w:val="en-CA"/>
    </w:rPr>
  </w:style>
  <w:style w:type="paragraph" w:styleId="FootnoteText">
    <w:name w:val="footnote text"/>
    <w:basedOn w:val="Normal"/>
    <w:link w:val="FootnoteTextChar"/>
    <w:uiPriority w:val="99"/>
    <w:unhideWhenUsed/>
    <w:rsid w:val="00B9316E"/>
  </w:style>
  <w:style w:type="character" w:customStyle="1" w:styleId="FootnoteTextChar">
    <w:name w:val="Footnote Text Char"/>
    <w:basedOn w:val="DefaultParagraphFont"/>
    <w:link w:val="FootnoteText"/>
    <w:uiPriority w:val="99"/>
    <w:rsid w:val="00B9316E"/>
  </w:style>
  <w:style w:type="character" w:styleId="FootnoteReference">
    <w:name w:val="footnote reference"/>
    <w:basedOn w:val="DefaultParagraphFont"/>
    <w:uiPriority w:val="99"/>
    <w:unhideWhenUsed/>
    <w:rsid w:val="00B9316E"/>
    <w:rPr>
      <w:vertAlign w:val="superscript"/>
    </w:rPr>
  </w:style>
  <w:style w:type="paragraph" w:styleId="Quote">
    <w:name w:val="Quote"/>
    <w:basedOn w:val="Normal"/>
    <w:next w:val="Normal"/>
    <w:link w:val="QuoteChar"/>
    <w:uiPriority w:val="29"/>
    <w:qFormat/>
    <w:rsid w:val="00D23FA9"/>
    <w:rPr>
      <w:i/>
      <w:iCs/>
      <w:color w:val="000000" w:themeColor="text1"/>
    </w:rPr>
  </w:style>
  <w:style w:type="character" w:customStyle="1" w:styleId="QuoteChar">
    <w:name w:val="Quote Char"/>
    <w:basedOn w:val="DefaultParagraphFont"/>
    <w:link w:val="Quote"/>
    <w:uiPriority w:val="29"/>
    <w:rsid w:val="00D23FA9"/>
    <w:rPr>
      <w:i/>
      <w:iCs/>
      <w:color w:val="000000" w:themeColor="text1"/>
    </w:rPr>
  </w:style>
  <w:style w:type="paragraph" w:styleId="BodyText">
    <w:name w:val="Body Text"/>
    <w:basedOn w:val="Normal"/>
    <w:link w:val="BodyTextChar"/>
    <w:uiPriority w:val="99"/>
    <w:semiHidden/>
    <w:unhideWhenUsed/>
    <w:rsid w:val="00B11D01"/>
    <w:pPr>
      <w:spacing w:after="120"/>
    </w:pPr>
  </w:style>
  <w:style w:type="character" w:customStyle="1" w:styleId="BodyTextChar">
    <w:name w:val="Body Text Char"/>
    <w:basedOn w:val="DefaultParagraphFont"/>
    <w:link w:val="BodyText"/>
    <w:uiPriority w:val="99"/>
    <w:semiHidden/>
    <w:rsid w:val="00B11D01"/>
  </w:style>
  <w:style w:type="paragraph" w:styleId="Header">
    <w:name w:val="header"/>
    <w:basedOn w:val="Normal"/>
    <w:link w:val="HeaderChar"/>
    <w:uiPriority w:val="99"/>
    <w:unhideWhenUsed/>
    <w:rsid w:val="00B11D01"/>
    <w:pPr>
      <w:tabs>
        <w:tab w:val="center" w:pos="4680"/>
        <w:tab w:val="right" w:pos="9360"/>
      </w:tabs>
    </w:pPr>
  </w:style>
  <w:style w:type="character" w:customStyle="1" w:styleId="HeaderChar">
    <w:name w:val="Header Char"/>
    <w:basedOn w:val="DefaultParagraphFont"/>
    <w:link w:val="Header"/>
    <w:uiPriority w:val="99"/>
    <w:rsid w:val="00B11D01"/>
  </w:style>
  <w:style w:type="paragraph" w:styleId="Footer">
    <w:name w:val="footer"/>
    <w:basedOn w:val="Normal"/>
    <w:link w:val="FooterChar"/>
    <w:uiPriority w:val="99"/>
    <w:unhideWhenUsed/>
    <w:rsid w:val="00B11D01"/>
    <w:pPr>
      <w:tabs>
        <w:tab w:val="center" w:pos="4680"/>
        <w:tab w:val="right" w:pos="9360"/>
      </w:tabs>
    </w:pPr>
  </w:style>
  <w:style w:type="character" w:customStyle="1" w:styleId="FooterChar">
    <w:name w:val="Footer Char"/>
    <w:basedOn w:val="DefaultParagraphFont"/>
    <w:link w:val="Footer"/>
    <w:uiPriority w:val="99"/>
    <w:rsid w:val="00B11D01"/>
  </w:style>
  <w:style w:type="paragraph" w:styleId="EndnoteText">
    <w:name w:val="endnote text"/>
    <w:basedOn w:val="Normal"/>
    <w:link w:val="EndnoteTextChar"/>
    <w:uiPriority w:val="99"/>
    <w:semiHidden/>
    <w:unhideWhenUsed/>
    <w:rsid w:val="00C56DFB"/>
  </w:style>
  <w:style w:type="character" w:customStyle="1" w:styleId="EndnoteTextChar">
    <w:name w:val="Endnote Text Char"/>
    <w:basedOn w:val="DefaultParagraphFont"/>
    <w:link w:val="EndnoteText"/>
    <w:uiPriority w:val="99"/>
    <w:semiHidden/>
    <w:rsid w:val="00C56DFB"/>
  </w:style>
  <w:style w:type="character" w:styleId="EndnoteReference">
    <w:name w:val="endnote reference"/>
    <w:basedOn w:val="DefaultParagraphFont"/>
    <w:uiPriority w:val="99"/>
    <w:semiHidden/>
    <w:unhideWhenUsed/>
    <w:rsid w:val="00C56DF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rsid w:val="005B7472"/>
    <w:pPr>
      <w:keepNext/>
      <w:keepLines/>
      <w:spacing w:before="200"/>
      <w:outlineLvl w:val="1"/>
    </w:pPr>
    <w:rPr>
      <w:rFonts w:asciiTheme="majorHAnsi" w:eastAsiaTheme="majorEastAsia" w:hAnsiTheme="majorHAnsi" w:cstheme="majorBidi"/>
      <w:b/>
      <w:bCs/>
      <w:color w:val="4F81BD" w:themeColor="accent1"/>
      <w:sz w:val="26"/>
      <w:szCs w:val="2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Ndepar-AltN">
    <w:name w:val="Para. No. / Nº de par. - Alt N"/>
    <w:qFormat/>
    <w:rsid w:val="00BB0F98"/>
    <w:pPr>
      <w:numPr>
        <w:numId w:val="1"/>
      </w:numPr>
      <w:spacing w:before="480" w:after="480" w:line="480" w:lineRule="auto"/>
      <w:jc w:val="both"/>
    </w:pPr>
    <w:rPr>
      <w:rFonts w:ascii="Times New Roman" w:hAnsi="Times New Roman"/>
      <w:szCs w:val="22"/>
    </w:rPr>
  </w:style>
  <w:style w:type="paragraph" w:customStyle="1" w:styleId="Citation-AltC">
    <w:name w:val="Citation - Alt C"/>
    <w:uiPriority w:val="2"/>
    <w:qFormat/>
    <w:rsid w:val="00BB0F98"/>
    <w:pPr>
      <w:spacing w:after="720"/>
      <w:ind w:left="1166"/>
      <w:contextualSpacing/>
      <w:jc w:val="both"/>
    </w:pPr>
    <w:rPr>
      <w:rFonts w:ascii="Times New Roman" w:eastAsia="Times New Roman" w:hAnsi="Times New Roman" w:cs="Times New Roman"/>
      <w:lang w:val="en-CA" w:eastAsia="en-CA"/>
    </w:rPr>
  </w:style>
  <w:style w:type="paragraph" w:customStyle="1" w:styleId="Title1LevelTitre1Niveau-AltL">
    <w:name w:val="Title 1 Level / Titre 1 Niveau - Alt L"/>
    <w:next w:val="ParaNoNdepar-AltN"/>
    <w:uiPriority w:val="4"/>
    <w:qFormat/>
    <w:rsid w:val="00BB0F98"/>
    <w:pPr>
      <w:numPr>
        <w:numId w:val="2"/>
      </w:numPr>
      <w:tabs>
        <w:tab w:val="left" w:pos="576"/>
      </w:tabs>
      <w:spacing w:before="480" w:after="720"/>
      <w:ind w:left="432"/>
    </w:pPr>
    <w:rPr>
      <w:rFonts w:ascii="Times New Roman" w:eastAsiaTheme="minorHAnsi" w:hAnsi="Times New Roman"/>
      <w:szCs w:val="22"/>
      <w:u w:val="single"/>
      <w:lang w:val="en-CA"/>
    </w:rPr>
  </w:style>
  <w:style w:type="paragraph" w:customStyle="1" w:styleId="Title2LevelTitre2Niveau">
    <w:name w:val="Title 2 Level / Titre 2 Niveau"/>
    <w:basedOn w:val="Title1LevelTitre1Niveau-AltL"/>
    <w:next w:val="ParaNoNdepar-AltN"/>
    <w:uiPriority w:val="4"/>
    <w:qFormat/>
    <w:rsid w:val="00BB0F98"/>
    <w:pPr>
      <w:numPr>
        <w:ilvl w:val="1"/>
      </w:numPr>
      <w:tabs>
        <w:tab w:val="clear" w:pos="432"/>
        <w:tab w:val="num" w:pos="5616"/>
      </w:tabs>
      <w:ind w:left="576" w:hanging="576"/>
    </w:pPr>
    <w:rPr>
      <w:i/>
      <w:u w:val="none"/>
    </w:rPr>
  </w:style>
  <w:style w:type="paragraph" w:customStyle="1" w:styleId="Title3LevelTitre3Niveau">
    <w:name w:val="Title 3 Level / Titre 3 Niveau"/>
    <w:basedOn w:val="Title1LevelTitre1Niveau-AltL"/>
    <w:next w:val="ParaNoNdepar-AltN"/>
    <w:uiPriority w:val="4"/>
    <w:qFormat/>
    <w:rsid w:val="00BB0F98"/>
    <w:pPr>
      <w:numPr>
        <w:ilvl w:val="2"/>
      </w:numPr>
      <w:tabs>
        <w:tab w:val="clear" w:pos="576"/>
        <w:tab w:val="clear" w:pos="1152"/>
        <w:tab w:val="num" w:pos="1080"/>
        <w:tab w:val="num" w:pos="6048"/>
      </w:tabs>
      <w:ind w:left="1080" w:hanging="540"/>
    </w:pPr>
  </w:style>
  <w:style w:type="paragraph" w:customStyle="1" w:styleId="Title4LevelTitre4Niveau">
    <w:name w:val="Title 4 Level / Titre 4 Niveau"/>
    <w:basedOn w:val="Title3LevelTitre3Niveau"/>
    <w:next w:val="ParaNoNdepar-AltN"/>
    <w:uiPriority w:val="4"/>
    <w:qFormat/>
    <w:rsid w:val="00BB0F98"/>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BB0F98"/>
    <w:pPr>
      <w:numPr>
        <w:ilvl w:val="4"/>
      </w:numPr>
      <w:tabs>
        <w:tab w:val="clear" w:pos="576"/>
        <w:tab w:val="left" w:pos="1620"/>
      </w:tabs>
      <w:ind w:left="1620" w:hanging="540"/>
    </w:pPr>
  </w:style>
  <w:style w:type="character" w:customStyle="1" w:styleId="Heading2Char">
    <w:name w:val="Heading 2 Char"/>
    <w:basedOn w:val="DefaultParagraphFont"/>
    <w:link w:val="Heading2"/>
    <w:uiPriority w:val="9"/>
    <w:semiHidden/>
    <w:rsid w:val="005B7472"/>
    <w:rPr>
      <w:rFonts w:asciiTheme="majorHAnsi" w:eastAsiaTheme="majorEastAsia" w:hAnsiTheme="majorHAnsi" w:cstheme="majorBidi"/>
      <w:b/>
      <w:bCs/>
      <w:color w:val="4F81BD" w:themeColor="accent1"/>
      <w:sz w:val="26"/>
      <w:szCs w:val="26"/>
      <w:lang w:val="en-CA" w:eastAsia="en-CA"/>
    </w:rPr>
  </w:style>
  <w:style w:type="paragraph" w:customStyle="1" w:styleId="ContinueParaSuitedupar-AltP">
    <w:name w:val="Continue Para. / Suite du par. - Alt P"/>
    <w:next w:val="Normal"/>
    <w:uiPriority w:val="1"/>
    <w:qFormat/>
    <w:rsid w:val="005B7472"/>
    <w:pPr>
      <w:spacing w:before="480" w:after="480" w:line="480" w:lineRule="auto"/>
      <w:jc w:val="both"/>
    </w:pPr>
    <w:rPr>
      <w:rFonts w:ascii="Times New Roman" w:eastAsiaTheme="minorHAnsi" w:hAnsi="Times New Roman"/>
      <w:szCs w:val="22"/>
      <w:lang w:val="en-CA"/>
    </w:rPr>
  </w:style>
  <w:style w:type="paragraph" w:styleId="FootnoteText">
    <w:name w:val="footnote text"/>
    <w:basedOn w:val="Normal"/>
    <w:link w:val="FootnoteTextChar"/>
    <w:uiPriority w:val="99"/>
    <w:unhideWhenUsed/>
    <w:rsid w:val="00B9316E"/>
  </w:style>
  <w:style w:type="character" w:customStyle="1" w:styleId="FootnoteTextChar">
    <w:name w:val="Footnote Text Char"/>
    <w:basedOn w:val="DefaultParagraphFont"/>
    <w:link w:val="FootnoteText"/>
    <w:uiPriority w:val="99"/>
    <w:rsid w:val="00B9316E"/>
  </w:style>
  <w:style w:type="character" w:styleId="FootnoteReference">
    <w:name w:val="footnote reference"/>
    <w:basedOn w:val="DefaultParagraphFont"/>
    <w:uiPriority w:val="99"/>
    <w:unhideWhenUsed/>
    <w:rsid w:val="00B9316E"/>
    <w:rPr>
      <w:vertAlign w:val="superscript"/>
    </w:rPr>
  </w:style>
  <w:style w:type="paragraph" w:styleId="Quote">
    <w:name w:val="Quote"/>
    <w:basedOn w:val="Normal"/>
    <w:next w:val="Normal"/>
    <w:link w:val="QuoteChar"/>
    <w:uiPriority w:val="29"/>
    <w:qFormat/>
    <w:rsid w:val="00D23FA9"/>
    <w:rPr>
      <w:i/>
      <w:iCs/>
      <w:color w:val="000000" w:themeColor="text1"/>
    </w:rPr>
  </w:style>
  <w:style w:type="character" w:customStyle="1" w:styleId="QuoteChar">
    <w:name w:val="Quote Char"/>
    <w:basedOn w:val="DefaultParagraphFont"/>
    <w:link w:val="Quote"/>
    <w:uiPriority w:val="29"/>
    <w:rsid w:val="00D23FA9"/>
    <w:rPr>
      <w:i/>
      <w:iCs/>
      <w:color w:val="000000" w:themeColor="text1"/>
    </w:rPr>
  </w:style>
  <w:style w:type="paragraph" w:styleId="BodyText">
    <w:name w:val="Body Text"/>
    <w:basedOn w:val="Normal"/>
    <w:link w:val="BodyTextChar"/>
    <w:uiPriority w:val="99"/>
    <w:semiHidden/>
    <w:unhideWhenUsed/>
    <w:rsid w:val="00B11D01"/>
    <w:pPr>
      <w:spacing w:after="120"/>
    </w:pPr>
  </w:style>
  <w:style w:type="character" w:customStyle="1" w:styleId="BodyTextChar">
    <w:name w:val="Body Text Char"/>
    <w:basedOn w:val="DefaultParagraphFont"/>
    <w:link w:val="BodyText"/>
    <w:uiPriority w:val="99"/>
    <w:semiHidden/>
    <w:rsid w:val="00B11D01"/>
  </w:style>
  <w:style w:type="paragraph" w:styleId="Header">
    <w:name w:val="header"/>
    <w:basedOn w:val="Normal"/>
    <w:link w:val="HeaderChar"/>
    <w:uiPriority w:val="99"/>
    <w:unhideWhenUsed/>
    <w:rsid w:val="00B11D01"/>
    <w:pPr>
      <w:tabs>
        <w:tab w:val="center" w:pos="4680"/>
        <w:tab w:val="right" w:pos="9360"/>
      </w:tabs>
    </w:pPr>
  </w:style>
  <w:style w:type="character" w:customStyle="1" w:styleId="HeaderChar">
    <w:name w:val="Header Char"/>
    <w:basedOn w:val="DefaultParagraphFont"/>
    <w:link w:val="Header"/>
    <w:uiPriority w:val="99"/>
    <w:rsid w:val="00B11D01"/>
  </w:style>
  <w:style w:type="paragraph" w:styleId="Footer">
    <w:name w:val="footer"/>
    <w:basedOn w:val="Normal"/>
    <w:link w:val="FooterChar"/>
    <w:uiPriority w:val="99"/>
    <w:unhideWhenUsed/>
    <w:rsid w:val="00B11D01"/>
    <w:pPr>
      <w:tabs>
        <w:tab w:val="center" w:pos="4680"/>
        <w:tab w:val="right" w:pos="9360"/>
      </w:tabs>
    </w:pPr>
  </w:style>
  <w:style w:type="character" w:customStyle="1" w:styleId="FooterChar">
    <w:name w:val="Footer Char"/>
    <w:basedOn w:val="DefaultParagraphFont"/>
    <w:link w:val="Footer"/>
    <w:uiPriority w:val="99"/>
    <w:rsid w:val="00B11D01"/>
  </w:style>
  <w:style w:type="paragraph" w:styleId="EndnoteText">
    <w:name w:val="endnote text"/>
    <w:basedOn w:val="Normal"/>
    <w:link w:val="EndnoteTextChar"/>
    <w:uiPriority w:val="99"/>
    <w:semiHidden/>
    <w:unhideWhenUsed/>
    <w:rsid w:val="00C56DFB"/>
  </w:style>
  <w:style w:type="character" w:customStyle="1" w:styleId="EndnoteTextChar">
    <w:name w:val="Endnote Text Char"/>
    <w:basedOn w:val="DefaultParagraphFont"/>
    <w:link w:val="EndnoteText"/>
    <w:uiPriority w:val="99"/>
    <w:semiHidden/>
    <w:rsid w:val="00C56DFB"/>
  </w:style>
  <w:style w:type="character" w:styleId="EndnoteReference">
    <w:name w:val="endnote reference"/>
    <w:basedOn w:val="DefaultParagraphFont"/>
    <w:uiPriority w:val="99"/>
    <w:semiHidden/>
    <w:unhideWhenUsed/>
    <w:rsid w:val="00C56D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556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D187-2F2B-45F0-969A-8B015A47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1961</Words>
  <Characters>10040</Characters>
  <Application>Microsoft Office Word</Application>
  <DocSecurity>4</DocSecurity>
  <PresentationFormat/>
  <Lines>163</Lines>
  <Paragraphs>28</Paragraphs>
  <ScaleCrop>false</ScaleCrop>
  <HeadingPairs>
    <vt:vector size="2" baseType="variant">
      <vt:variant>
        <vt:lpstr>Title</vt:lpstr>
      </vt:variant>
      <vt:variant>
        <vt:i4>1</vt:i4>
      </vt:variant>
    </vt:vector>
  </HeadingPairs>
  <TitlesOfParts>
    <vt:vector size="1" baseType="lpstr">
      <vt:lpstr>TLABC and CBABC v. AGBC - Case Commment (00439531).DOCX</vt:lpstr>
    </vt:vector>
  </TitlesOfParts>
  <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comments (00440105).DOCX</dc:title>
  <dc:subject>09009-003\00440105.1/Font=8</dc:subject>
  <dc:creator>Melina Buckley</dc:creator>
  <cp:keywords/>
  <dc:description/>
  <cp:lastModifiedBy>Sunita.March</cp:lastModifiedBy>
  <cp:revision>2</cp:revision>
  <dcterms:created xsi:type="dcterms:W3CDTF">2014-11-06T20:51:00Z</dcterms:created>
  <dcterms:modified xsi:type="dcterms:W3CDTF">2014-11-06T20:51:00Z</dcterms:modified>
</cp:coreProperties>
</file>